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alt="Department of Home Affairs logo "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AUSTRALIAN CUSTOMS NOTICE NO. 2003/51</w:t>
      </w:r>
    </w:p>
    <w:p>
      <w:pPr>
        <w:spacing w:before="117"/>
        <w:ind w:left="767" w:right="1192" w:firstLine="0"/>
        <w:jc w:val="center"/>
        <w:rPr>
          <w:rFonts w:ascii="Arial-BoldItalicMT"/>
          <w:b/>
          <w:i/>
          <w:sz w:val="28"/>
        </w:rPr>
      </w:pPr>
      <w:r>
        <w:rPr>
          <w:b/>
          <w:i/>
          <w:sz w:val="28"/>
          <w:u w:val="none"/>
        </w:rPr>
        <w:t>Australian Customs Broker Licence Renewal Procedures</w:t>
      </w:r>
      <w:r>
        <w:rPr>
          <w:rFonts w:ascii="Arial-BoldItalicMT"/>
          <w:b/>
          <w:i/>
          <w:sz w:val="28"/>
        </w:rPr>
      </w:r>
    </w:p>
    <w:p>
      <w:pPr>
        <w:pStyle w:val="BodyText"/>
        <w:spacing w:before="7"/>
        <w:rPr>
          <w:rFonts w:ascii="Arial-BoldItalicMT"/>
          <w:b/>
          <w:i/>
          <w:sz w:val="23"/>
        </w:rPr>
      </w:pPr>
    </w:p>
    <w:p>
      <w:pPr>
        <w:pStyle w:val="BodyText"/>
        <w:ind w:left="708" w:right="1510"/>
      </w:pPr>
      <w:r>
        <w:rPr/>
        <w:t>The Australian Customs and Border Protection Service (ACBPS) has advised that it is issuing a number of new Australian Customs Broker Licences (ACBL). The new licences will replace current licence numbers and expire on 1 January 2004. In addition, each licence will contain an Australian Business Number.</w:t>
      </w:r>
    </w:p>
    <w:p>
      <w:pPr>
        <w:spacing w:before="122"/>
        <w:ind w:left="708" w:right="1253" w:firstLine="0"/>
        <w:jc w:val="left"/>
        <w:rPr>
          <w:sz w:val="20"/>
        </w:rPr>
      </w:pPr>
      <w:r>
        <w:rPr>
          <w:b w:val="0"/>
          <w:i w:val="0"/>
          <w:sz w:val="20"/>
          <w:u w:val="none"/>
        </w:rPr>
        <w:t>Current Australian Customs Brokers have the option to apply for a new licence. The ACBPS will only process the renewal applications for a new licence if:</w:t>
      </w:r>
      <w:r>
        <w:rPr>
          <w:i/>
          <w:sz w:val="20"/>
        </w:rPr>
      </w:r>
      <w:r>
        <w:rPr>
          <w:sz w:val="20"/>
        </w:rPr>
      </w:r>
    </w:p>
    <w:p>
      <w:pPr>
        <w:pStyle w:val="BodyText"/>
        <w:spacing w:before="120"/>
        <w:ind w:left="708" w:right="1631"/>
      </w:pPr>
      <w:r>
        <w:rPr/>
        <w:t xml:space="preserve">The licence holder is the owner or in possession of an exclusive licence (in addition to the owner's current licence) and has notified to the ACBPS in writing of their intention to renew the licence on or before the expiry date for that license. </w:t>
      </w:r>
      <w:hyperlink r:id="rId7">
        <w:r>
          <w:rPr>
            <w:u w:val="single"/>
          </w:rPr>
          <w:t>www.legislation.gov.au</w:t>
        </w:r>
        <w:r>
          <w:rPr/>
          <w:t>.</w:t>
        </w:r>
      </w:hyperlink>
    </w:p>
    <w:p>
      <w:pPr>
        <w:pStyle w:val="BodyText"/>
        <w:spacing w:before="3"/>
        <w:rPr>
          <w:sz w:val="12"/>
        </w:rPr>
      </w:pPr>
    </w:p>
    <w:p>
      <w:pPr>
        <w:pStyle w:val="Heading1"/>
        <w:spacing w:before="93"/>
      </w:pPr>
      <w:r>
        <w:rPr/>
        <w:t>The Australian Business Number</w:t>
      </w:r>
    </w:p>
    <w:p>
      <w:pPr>
        <w:pStyle w:val="BodyText"/>
        <w:spacing w:before="149"/>
        <w:ind w:left="708" w:right="1197"/>
      </w:pPr>
      <w:r>
        <w:rPr>
          <w:b w:val="0"/>
          <w:i w:val="0"/>
          <w:u w:val="none"/>
        </w:rPr>
        <w:t>The new Australian Business Number (ABSN) will be issued on or before 1 February 2004. The ABSN is a six-digit number that can only be claimed by a holder of an Australian Business License. This number can only be claimed by a licensed Customs broker who has declared in writing to the ACBPS the following:</w:t>
      </w:r>
      <w:r>
        <w:rPr>
          <w:i/>
        </w:rPr>
      </w:r>
      <w:r>
        <w:rPr/>
      </w:r>
      <w:r>
        <w:rPr>
          <w:i/>
        </w:rPr>
      </w:r>
      <w:r>
        <w:rPr/>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b w:val="0"/>
          <w:i w:val="0"/>
          <w:sz w:val="20"/>
          <w:u w:val="none"/>
        </w:rPr>
        <w:t>Any of the following:</w:t>
      </w:r>
      <w:r>
        <w:rPr>
          <w:spacing w:val="-2"/>
          <w:sz w:val="20"/>
        </w:rPr>
      </w:r>
      <w:r>
        <w:rPr>
          <w:sz w:val="20"/>
        </w:rPr>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b w:val="0"/>
          <w:i w:val="0"/>
          <w:sz w:val="20"/>
          <w:u w:val="none"/>
        </w:rPr>
        <w:t>Any of the following:</w:t>
      </w:r>
      <w:r>
        <w:rPr>
          <w:spacing w:val="-4"/>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The number must not be a 12.</w:t>
      </w:r>
      <w:r>
        <w:rPr>
          <w:spacing w:val="-2"/>
          <w:sz w:val="20"/>
        </w:rPr>
      </w:r>
      <w:r>
        <w:rPr>
          <w:sz w:val="20"/>
        </w:rPr>
      </w:r>
    </w:p>
    <w:p>
      <w:pPr>
        <w:pStyle w:val="ListParagraph"/>
        <w:numPr>
          <w:ilvl w:val="0"/>
          <w:numId w:val="1"/>
        </w:numPr>
        <w:tabs>
          <w:tab w:pos="1421" w:val="left" w:leader="none"/>
          <w:tab w:pos="1422" w:val="left" w:leader="none"/>
        </w:tabs>
        <w:spacing w:line="240" w:lineRule="auto" w:before="136" w:after="0"/>
        <w:ind w:left="1421" w:right="0" w:hanging="357"/>
        <w:jc w:val="left"/>
        <w:rPr>
          <w:sz w:val="20"/>
        </w:rPr>
      </w:pPr>
      <w:r>
        <w:rPr>
          <w:b w:val="0"/>
          <w:i w:val="0"/>
          <w:sz w:val="20"/>
          <w:u w:val="none"/>
        </w:rPr>
        <w:t>The number must be a digit inclusive of zero.</w:t>
      </w:r>
      <w:r>
        <w:rPr>
          <w:spacing w:val="-11"/>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Any of the following:</w:t>
      </w:r>
      <w:r>
        <w:rPr>
          <w:spacing w:val="-11"/>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Any of the following:</w:t>
      </w:r>
      <w:r>
        <w:rPr>
          <w:spacing w:val="-2"/>
          <w:sz w:val="20"/>
        </w:rPr>
      </w:r>
      <w:r>
        <w:rPr>
          <w:sz w:val="20"/>
        </w:rPr>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b w:val="0"/>
          <w:i w:val="0"/>
          <w:sz w:val="20"/>
          <w:u w:val="none"/>
        </w:rPr>
        <w:t>The number must be an Australian Business Number.</w:t>
      </w:r>
      <w:r>
        <w:rPr>
          <w:spacing w:val="-3"/>
          <w:sz w:val="20"/>
        </w:rPr>
      </w:r>
      <w:r>
        <w:rPr>
          <w:sz w:val="20"/>
        </w:rPr>
      </w:r>
    </w:p>
    <w:p>
      <w:pPr>
        <w:pStyle w:val="BodyText"/>
        <w:spacing w:before="121"/>
        <w:ind w:left="708"/>
      </w:pPr>
      <w:r>
        <w:rPr/>
        <w:t>Importers seeking to claim the ABSN must have the licence and the payment of the customs duty payable.</w:t>
      </w:r>
    </w:p>
    <w:p>
      <w:pPr>
        <w:pStyle w:val="BodyText"/>
        <w:spacing w:before="120"/>
        <w:ind w:left="708" w:right="1521"/>
      </w:pPr>
      <w:r>
        <w:rPr/>
        <w:t>Importers or their advisers requesting the details of customs brokers who have applied for a customs broker licence must provide a copy of their Customs Broker Licence application and fee statements to:</w:t>
      </w:r>
    </w:p>
    <w:p>
      <w:pPr>
        <w:pStyle w:val="BodyText"/>
        <w:spacing w:before="6"/>
      </w:pPr>
    </w:p>
    <w:p>
      <w:pPr>
        <w:pStyle w:val="Heading1"/>
      </w:pPr>
      <w:r>
        <w:rPr/>
        <w:t>Customs Brokers Licensing Unit Customs House</w:t>
      </w:r>
    </w:p>
    <w:p>
      <w:pPr>
        <w:pStyle w:val="BodyText"/>
        <w:spacing w:before="147"/>
        <w:ind w:left="708" w:right="1765"/>
      </w:pPr>
      <w:r>
        <w:rPr/>
        <w:t>5 Constitution Avenue</w:t>
      </w:r>
    </w:p>
    <w:p>
      <w:pPr>
        <w:pStyle w:val="BodyText"/>
        <w:spacing w:before="122"/>
        <w:ind w:left="708" w:right="1287"/>
      </w:pPr>
      <w:r>
        <w:rPr/>
        <w:t>CANBERRA ACT 2601</w:t>
      </w:r>
    </w:p>
    <w:p>
      <w:pPr>
        <w:pStyle w:val="ListParagraph"/>
        <w:numPr>
          <w:ilvl w:val="0"/>
          <w:numId w:val="1"/>
        </w:numPr>
        <w:tabs>
          <w:tab w:pos="1428" w:val="left" w:leader="none"/>
          <w:tab w:pos="1429" w:val="left" w:leader="none"/>
        </w:tabs>
        <w:spacing w:line="240" w:lineRule="auto" w:before="130" w:after="0"/>
        <w:ind w:left="1428" w:right="1164" w:hanging="361"/>
        <w:jc w:val="left"/>
        <w:rPr>
          <w:sz w:val="20"/>
        </w:rPr>
      </w:pPr>
      <w:r>
        <w:rPr>
          <w:b w:val="0"/>
          <w:i w:val="0"/>
          <w:sz w:val="20"/>
          <w:u w:val="none"/>
        </w:rPr>
        <w:t>The name of the person applying must be clearly shown in the adhesion area and the name of the company must be clearly shown in the company name space in the Customs Brokers Licensing application.</w:t>
      </w:r>
      <w:r>
        <w:rPr>
          <w:b/>
          <w:sz w:val="20"/>
        </w:rPr>
      </w:r>
      <w:r>
        <w:rPr>
          <w:sz w:val="20"/>
        </w:rPr>
      </w:r>
      <w:r>
        <w:rPr>
          <w:b/>
          <w:sz w:val="20"/>
        </w:rPr>
      </w:r>
      <w:r>
        <w:rPr>
          <w:sz w:val="20"/>
        </w:rPr>
      </w:r>
      <w:r>
        <w:rPr>
          <w:i/>
          <w:sz w:val="20"/>
        </w:rPr>
      </w:r>
      <w:r>
        <w:rPr>
          <w:sz w:val="20"/>
        </w:rPr>
      </w:r>
      <w:r>
        <w:rPr>
          <w:spacing w:val="-1"/>
          <w:sz w:val="20"/>
        </w:rPr>
      </w:r>
      <w:r>
        <w:rPr>
          <w:sz w:val="20"/>
        </w:rPr>
      </w:r>
    </w:p>
    <w:p>
      <w:pPr>
        <w:pStyle w:val="ListParagraph"/>
        <w:numPr>
          <w:ilvl w:val="0"/>
          <w:numId w:val="1"/>
        </w:numPr>
        <w:tabs>
          <w:tab w:pos="1428" w:val="left" w:leader="none"/>
          <w:tab w:pos="1429" w:val="left" w:leader="none"/>
        </w:tabs>
        <w:spacing w:line="242" w:lineRule="auto" w:before="134" w:after="0"/>
        <w:ind w:left="1428" w:right="1332" w:hanging="361"/>
        <w:jc w:val="left"/>
        <w:rPr>
          <w:sz w:val="20"/>
        </w:rPr>
      </w:pPr>
      <w:r>
        <w:rPr>
          <w:b w:val="0"/>
          <w:i w:val="0"/>
          <w:sz w:val="20"/>
          <w:u w:val="none"/>
        </w:rPr>
        <w:t>A copy of the Notices of Objection of Trade Practices has been forwarded to:</w:t>
      </w:r>
      <w:r>
        <w:rPr>
          <w:spacing w:val="-23"/>
          <w:sz w:val="20"/>
        </w:rPr>
      </w:r>
      <w:r>
        <w:rPr>
          <w:sz w:val="20"/>
        </w:rPr>
      </w:r>
      <w:r>
        <w:rPr>
          <w:spacing w:val="-3"/>
          <w:sz w:val="20"/>
        </w:rPr>
      </w:r>
      <w:r>
        <w:rPr>
          <w:sz w:val="20"/>
        </w:rPr>
      </w:r>
    </w:p>
    <w:p>
      <w:pPr>
        <w:spacing w:after="0" w:line="242" w:lineRule="auto"/>
        <w:jc w:val="left"/>
        <w:rPr>
          <w:sz w:val="20"/>
        </w:rPr>
        <w:sectPr>
          <w:type w:val="continuous"/>
          <w:pgSz w:w="11910" w:h="16840"/>
          <w:pgMar w:top="0" w:bottom="280" w:left="0" w:right="0"/>
        </w:sectPr>
      </w:pPr>
    </w:p>
    <w:p>
      <w:pPr>
        <w:pStyle w:val="Heading1"/>
        <w:spacing w:before="78"/>
      </w:pPr>
      <w:r>
        <w:rPr/>
        <w:t>Customs Brokers Licensing Unit</w:t>
      </w:r>
    </w:p>
    <w:p>
      <w:pPr>
        <w:spacing w:before="147"/>
        <w:ind w:left="708" w:right="1510" w:firstLine="0"/>
        <w:jc w:val="left"/>
        <w:rPr>
          <w:sz w:val="20"/>
        </w:rPr>
      </w:pPr>
      <w:r>
        <w:rPr>
          <w:b w:val="0"/>
          <w:i w:val="0"/>
          <w:sz w:val="20"/>
          <w:u w:val="none"/>
        </w:rPr>
        <w:t>Customs House</w:t>
      </w:r>
      <w:r>
        <w:rPr>
          <w:i/>
          <w:sz w:val="20"/>
        </w:rPr>
      </w:r>
      <w:r>
        <w:rPr>
          <w:sz w:val="20"/>
        </w:rPr>
      </w:r>
    </w:p>
    <w:p>
      <w:pPr>
        <w:pStyle w:val="ListParagraph"/>
        <w:numPr>
          <w:ilvl w:val="0"/>
          <w:numId w:val="1"/>
        </w:numPr>
        <w:tabs>
          <w:tab w:pos="1428" w:val="left" w:leader="none"/>
          <w:tab w:pos="1429" w:val="left" w:leader="none"/>
        </w:tabs>
        <w:spacing w:line="242" w:lineRule="auto" w:before="133" w:after="0"/>
        <w:ind w:left="1428" w:right="1243" w:hanging="361"/>
        <w:jc w:val="left"/>
        <w:rPr>
          <w:sz w:val="20"/>
        </w:rPr>
      </w:pPr>
      <w:r>
        <w:rPr>
          <w:b w:val="0"/>
          <w:i w:val="0"/>
          <w:sz w:val="20"/>
          <w:u w:val="none"/>
        </w:rPr>
        <w:t>5 Constitution Avenue</w:t>
      </w:r>
      <w:r>
        <w:rPr>
          <w:spacing w:val="-31"/>
          <w:sz w:val="20"/>
        </w:rPr>
      </w:r>
      <w:r>
        <w:rPr>
          <w:sz w:val="20"/>
        </w:rPr>
      </w:r>
      <w:r>
        <w:rPr>
          <w:spacing w:val="-3"/>
          <w:sz w:val="20"/>
        </w:rPr>
      </w:r>
      <w:r>
        <w:rPr>
          <w:sz w:val="20"/>
        </w:rPr>
      </w:r>
    </w:p>
    <w:p>
      <w:pPr>
        <w:pStyle w:val="ListParagraph"/>
        <w:numPr>
          <w:ilvl w:val="0"/>
          <w:numId w:val="1"/>
        </w:numPr>
        <w:tabs>
          <w:tab w:pos="1428" w:val="left" w:leader="none"/>
          <w:tab w:pos="1429" w:val="left" w:leader="none"/>
        </w:tabs>
        <w:spacing w:line="240" w:lineRule="auto" w:before="128" w:after="0"/>
        <w:ind w:left="1428" w:right="0" w:hanging="361"/>
        <w:jc w:val="left"/>
        <w:rPr>
          <w:sz w:val="20"/>
        </w:rPr>
      </w:pPr>
      <w:r>
        <w:rPr>
          <w:b w:val="0"/>
          <w:i w:val="0"/>
          <w:sz w:val="20"/>
          <w:u w:val="none"/>
        </w:rPr>
        <w:t>CANBERRA ACT 2601</w:t>
      </w:r>
      <w:r>
        <w:rPr>
          <w:spacing w:val="-12"/>
          <w:sz w:val="20"/>
        </w:rPr>
      </w:r>
      <w:r>
        <w:rPr>
          <w:sz w:val="20"/>
        </w:rPr>
      </w:r>
    </w:p>
    <w:p>
      <w:pPr>
        <w:pStyle w:val="ListParagraph"/>
        <w:numPr>
          <w:ilvl w:val="0"/>
          <w:numId w:val="1"/>
        </w:numPr>
        <w:tabs>
          <w:tab w:pos="1428" w:val="left" w:leader="none"/>
          <w:tab w:pos="1429" w:val="left" w:leader="none"/>
        </w:tabs>
        <w:spacing w:line="240" w:lineRule="auto" w:before="135" w:after="0"/>
        <w:ind w:left="1428" w:right="1753" w:hanging="361"/>
        <w:jc w:val="left"/>
        <w:rPr>
          <w:sz w:val="20"/>
        </w:rPr>
      </w:pPr>
      <w:r>
        <w:rPr>
          <w:b w:val="0"/>
          <w:i w:val="0"/>
          <w:sz w:val="20"/>
          <w:u w:val="none"/>
        </w:rPr>
        <w:t xml:space="preserve">The Customs Brokers Licensing Unit will respond to inquiries concerning this notice by 3 April 2004. </w:t>
      </w:r>
      <w:r>
        <w:rPr>
          <w:spacing w:val="-1"/>
          <w:sz w:val="20"/>
        </w:rPr>
      </w:r>
      <w:hyperlink r:id="rId8">
        <w:r>
          <w:rPr>
            <w:sz w:val="20"/>
            <w:u w:val="single"/>
          </w:rPr>
          <w:t>www.asbestossafety.gov.au</w:t>
        </w:r>
        <w:r>
          <w:rPr>
            <w:sz w:val="20"/>
          </w:rPr>
          <w:t>.</w:t>
        </w:r>
      </w:hyperlink>
    </w:p>
    <w:p>
      <w:pPr>
        <w:pStyle w:val="BodyText"/>
        <w:spacing w:before="121"/>
        <w:ind w:left="708"/>
      </w:pPr>
      <w:r>
        <w:rPr/>
        <w:t xml:space="preserve">Any enquiries concerning this notice should be directed to the Assistant Director, Licensing, Trade Measures Branch on telephone number (02) 6275 6577. </w:t>
      </w:r>
      <w:hyperlink r:id="rId9">
        <w:r>
          <w:rPr>
            <w:u w:val="single"/>
          </w:rPr>
          <w:t>www.abf.gov.au/asbestos</w:t>
        </w:r>
        <w:r>
          <w:rPr/>
          <w:t>.</w:t>
        </w:r>
      </w:hyperlink>
    </w:p>
    <w:p>
      <w:pPr>
        <w:pStyle w:val="BodyText"/>
        <w:spacing w:before="5"/>
        <w:rPr>
          <w:sz w:val="22"/>
        </w:rPr>
      </w:pPr>
    </w:p>
    <w:p>
      <w:pPr>
        <w:pStyle w:val="BodyText"/>
        <w:spacing w:before="92"/>
        <w:ind w:left="708"/>
      </w:pPr>
      <w:r>
        <w:rPr/>
        <w:t>(signed)</w:t>
      </w:r>
    </w:p>
    <w:p>
      <w:pPr>
        <w:pStyle w:val="BodyText"/>
        <w:spacing w:before="10"/>
        <w:rPr>
          <w:sz w:val="19"/>
        </w:rPr>
      </w:pPr>
    </w:p>
    <w:p>
      <w:pPr>
        <w:pStyle w:val="BodyText"/>
        <w:ind w:left="708" w:right="9425"/>
      </w:pPr>
      <w:r>
        <w:rPr/>
        <w:t>Sharon Nyakuengama</w:t>
      </w:r>
    </w:p>
    <w:p>
      <w:pPr>
        <w:pStyle w:val="BodyText"/>
        <w:spacing w:line="480" w:lineRule="auto" w:before="1"/>
        <w:ind w:left="708" w:right="7802"/>
      </w:pPr>
      <w:r>
        <w:rPr/>
        <w:t>National Manager Cargo Branch</w:t>
      </w:r>
    </w:p>
    <w:sectPr>
      <w:pgSz w:w="11910" w:h="16840"/>
      <w:pgMar w:top="9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8" w:hanging="356"/>
      </w:pPr>
      <w:rPr>
        <w:rFonts w:hint="default" w:ascii="Arial" w:hAnsi="Arial" w:eastAsia="Arial" w:cs="Arial"/>
        <w:w w:val="130"/>
        <w:sz w:val="20"/>
        <w:szCs w:val="20"/>
        <w:lang w:val="en-au" w:eastAsia="en-US" w:bidi="ar-SA"/>
      </w:rPr>
    </w:lvl>
    <w:lvl w:ilvl="1">
      <w:start w:val="0"/>
      <w:numFmt w:val="bullet"/>
      <w:lvlText w:val="•"/>
      <w:lvlJc w:val="left"/>
      <w:pPr>
        <w:ind w:left="2468" w:hanging="356"/>
      </w:pPr>
      <w:rPr>
        <w:rFonts w:hint="default"/>
        <w:lang w:val="en-au" w:eastAsia="en-US" w:bidi="ar-SA"/>
      </w:rPr>
    </w:lvl>
    <w:lvl w:ilvl="2">
      <w:start w:val="0"/>
      <w:numFmt w:val="bullet"/>
      <w:lvlText w:val="•"/>
      <w:lvlJc w:val="left"/>
      <w:pPr>
        <w:ind w:left="3517" w:hanging="356"/>
      </w:pPr>
      <w:rPr>
        <w:rFonts w:hint="default"/>
        <w:lang w:val="en-au" w:eastAsia="en-US" w:bidi="ar-SA"/>
      </w:rPr>
    </w:lvl>
    <w:lvl w:ilvl="3">
      <w:start w:val="0"/>
      <w:numFmt w:val="bullet"/>
      <w:lvlText w:val="•"/>
      <w:lvlJc w:val="left"/>
      <w:pPr>
        <w:ind w:left="4565" w:hanging="356"/>
      </w:pPr>
      <w:rPr>
        <w:rFonts w:hint="default"/>
        <w:lang w:val="en-au" w:eastAsia="en-US" w:bidi="ar-SA"/>
      </w:rPr>
    </w:lvl>
    <w:lvl w:ilvl="4">
      <w:start w:val="0"/>
      <w:numFmt w:val="bullet"/>
      <w:lvlText w:val="•"/>
      <w:lvlJc w:val="left"/>
      <w:pPr>
        <w:ind w:left="5614" w:hanging="356"/>
      </w:pPr>
      <w:rPr>
        <w:rFonts w:hint="default"/>
        <w:lang w:val="en-au" w:eastAsia="en-US" w:bidi="ar-SA"/>
      </w:rPr>
    </w:lvl>
    <w:lvl w:ilvl="5">
      <w:start w:val="0"/>
      <w:numFmt w:val="bullet"/>
      <w:lvlText w:val="•"/>
      <w:lvlJc w:val="left"/>
      <w:pPr>
        <w:ind w:left="6663" w:hanging="356"/>
      </w:pPr>
      <w:rPr>
        <w:rFonts w:hint="default"/>
        <w:lang w:val="en-au" w:eastAsia="en-US" w:bidi="ar-SA"/>
      </w:rPr>
    </w:lvl>
    <w:lvl w:ilvl="6">
      <w:start w:val="0"/>
      <w:numFmt w:val="bullet"/>
      <w:lvlText w:val="•"/>
      <w:lvlJc w:val="left"/>
      <w:pPr>
        <w:ind w:left="7711" w:hanging="356"/>
      </w:pPr>
      <w:rPr>
        <w:rFonts w:hint="default"/>
        <w:lang w:val="en-au" w:eastAsia="en-US" w:bidi="ar-SA"/>
      </w:rPr>
    </w:lvl>
    <w:lvl w:ilvl="7">
      <w:start w:val="0"/>
      <w:numFmt w:val="bullet"/>
      <w:lvlText w:val="•"/>
      <w:lvlJc w:val="left"/>
      <w:pPr>
        <w:ind w:left="8760" w:hanging="356"/>
      </w:pPr>
      <w:rPr>
        <w:rFonts w:hint="default"/>
        <w:lang w:val="en-au" w:eastAsia="en-US" w:bidi="ar-SA"/>
      </w:rPr>
    </w:lvl>
    <w:lvl w:ilvl="8">
      <w:start w:val="0"/>
      <w:numFmt w:val="bullet"/>
      <w:lvlText w:val="•"/>
      <w:lvlJc w:val="left"/>
      <w:pPr>
        <w:ind w:left="9809"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708"/>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21" w:hanging="357"/>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sbestossafety.gov.au/" TargetMode="External"/><Relationship Id="rId9" Type="http://schemas.openxmlformats.org/officeDocument/2006/relationships/hyperlink" Target="http://www.abf.gov.au/asbesto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 National Manager</dc:creator>
  <cp:keywords>Australian Customs and Border Protection Service</cp:keywords>
  <dc:subject>Department of Immigration and Border Protection</dc:subject>
  <dc:title>30 June 2019</dc:title>
  <dcterms:created xsi:type="dcterms:W3CDTF">2020-12-09T22:36:45Z</dcterms:created>
  <dcterms:modified xsi:type="dcterms:W3CDTF">2020-12-09T22:36:45Z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2016</vt:lpwstr>
  </property>
  <property fmtid="{D5CDD505-2E9C-101B-9397-08002B2CF9AE}" pid="4" name="LastSaved">
    <vt:filetime>2020-12-09T00:00:00Z</vt:filetime>
  </property>
</Properties>
</file>