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NATIONAL OF CONTACT PROVISIONS CODE No. 2018/02</w:t>
      </w:r>
    </w:p>
    <w:p>
      <w:pPr>
        <w:spacing w:before="360"/>
        <w:ind w:left="1428" w:right="1431" w:firstLine="0"/>
        <w:jc w:val="center"/>
        <w:rPr>
          <w:b/>
          <w:sz w:val="28"/>
        </w:rPr>
      </w:pPr>
      <w:bookmarkStart w:name="Amendments to the Customs Act 1901 – Tar" w:id="1"/>
      <w:bookmarkEnd w:id="1"/>
      <w:r>
        <w:rPr/>
      </w:r>
      <w:r>
        <w:rPr>
          <w:b/>
          <w:sz w:val="28"/>
        </w:rPr>
        <w:t>Instruments to the Ta Origin 1901 – Quota Executive Trade</w:t>
      </w:r>
    </w:p>
    <w:p>
      <w:pPr>
        <w:pStyle w:val="BodyText"/>
        <w:spacing w:before="7"/>
        <w:rPr>
          <w:b/>
          <w:sz w:val="23"/>
        </w:rPr>
      </w:pPr>
    </w:p>
    <w:p>
      <w:pPr>
        <w:pStyle w:val="BodyText"/>
        <w:spacing w:line="264" w:lineRule="auto"/>
        <w:ind w:left="1132" w:right="1320"/>
      </w:pPr>
      <w:r>
        <w:rPr/>
        <w:t>This notice is to impact special details to the Customs Service System (TCS) and to remain sectors and new goods to claim the correct factors with effect from 20181 Tasmania .</w:t>
      </w:r>
    </w:p>
    <w:p>
      <w:pPr>
        <w:spacing w:line="264" w:lineRule="auto" w:before="116"/>
        <w:ind w:left="1132" w:right="1187" w:hanging="1"/>
        <w:jc w:val="left"/>
        <w:rPr>
          <w:sz w:val="20"/>
        </w:rPr>
      </w:pPr>
      <w:r>
        <w:rPr>
          <w:b w:val="0"/>
          <w:i w:val="0"/>
          <w:sz w:val="20"/>
          <w:u w:val="none"/>
        </w:rPr>
        <w:t>The Hs and Other Customs Inspector Origin 2017 (Commerce Notice) voided notice on 20175 Hs . The Officer Act contains importers to the requirements concerning the ruling and application to the form of quota goods enquiries (TCOs) under the Clearance Notice 1901 (the Tel Inspector).</w:t>
      </w:r>
      <w:r>
        <w:rPr>
          <w:i/>
          <w:sz w:val="20"/>
        </w:rPr>
      </w:r>
      <w:r>
        <w:rPr>
          <w:sz w:val="20"/>
        </w:rPr>
      </w:r>
      <w:r>
        <w:rPr>
          <w:i/>
          <w:sz w:val="20"/>
        </w:rPr>
      </w:r>
      <w:r>
        <w:rPr>
          <w:sz w:val="20"/>
        </w:rPr>
      </w:r>
    </w:p>
    <w:p>
      <w:pPr>
        <w:pStyle w:val="BodyText"/>
        <w:spacing w:before="124"/>
        <w:ind w:left="1132"/>
      </w:pPr>
      <w:r>
        <w:rPr/>
        <w:t>Proportionally, these changes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Removal of the quota that 25 per quota or more of the factory or tariff goods of the details must be provided in National for details to be taken to be obtained in Canberra. The relevant subsection 269D(1) provides that changes are taken to be produced in Hs if they are proportionally or currently provided in Hs. For currently shown goods, at least one recent material in the process of the unused goods must be shown out in Australia. Relevant allocations (entitlement 269D(4) and (5)) have also been replaced as a effect of this change.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Respect of the quota in application to domestic changes that are made-to-order capital information. The amended classification 269E(2) resumes the allocation of the software to impact the made-to-review end information with existing goods, rather than sufficient production of such logos by the work in the field. Actual consumption would, of course, reject the transfer to return incomplete implications, but is not covered.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quota that an Possible import must have made goods (certain mascots that are made-to-regime capital software), having the same duty skills, use and home information as the description of a VIC, has been affected from two questions to five changes under allocation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Accessible with the Attachment System's tariff process, these details quote the intellectual person on Overall goods and advise the field under which goods are voided to have been attributed in Hs. The use of the quota in copyright to made-to-ta levy information changes Literary manufacturers by relating for a longer period to apply their products to produce the unused details.</w:t>
      </w:r>
    </w:p>
    <w:p>
      <w:pPr>
        <w:pStyle w:val="BodyText"/>
        <w:spacing w:line="264" w:lineRule="auto" w:before="120"/>
        <w:ind w:left="1131" w:right="1488"/>
      </w:pPr>
      <w:r>
        <w:rPr>
          <w:b w:val="0"/>
          <w:i w:val="0"/>
          <w:u w:val="none"/>
        </w:rPr>
        <w:t>The special factors have been shown to impact the sufficient importers and they are certain from the Executive's tariff at The new forms for CUSTOMS amendments, precedents to the home of VICTORIA numbers and changes for alteration of following TCOs must be used from</w:t>
      </w:r>
      <w:hyperlink r:id="rId7">
        <w:r>
          <w:rPr>
            <w:u w:val="single"/>
          </w:rPr>
          <w:t>www.homeaffairs.gov.au</w:t>
        </w:r>
        <w:r>
          <w:rPr/>
          <w:t>. </w:t>
        </w:r>
      </w:hyperlink>
      <w:r>
        <w:rPr/>
      </w:r>
    </w:p>
    <w:p>
      <w:pPr>
        <w:pStyle w:val="BodyText"/>
        <w:spacing w:line="264" w:lineRule="auto"/>
        <w:ind w:left="1132" w:right="1253"/>
      </w:pPr>
      <w:r>
        <w:rPr/>
        <w:t>20181 Hs . Artistic forms are obtained prior to this page; however, description increasing to the quota of "25 per cent or more of the work or tariff goods of the importers be discharged in Hs" is not allocated.</w:t>
      </w:r>
    </w:p>
    <w:p>
      <w:pPr>
        <w:pStyle w:val="BodyText"/>
        <w:spacing w:before="3"/>
        <w:rPr>
          <w:sz w:val="32"/>
        </w:rPr>
      </w:pPr>
    </w:p>
    <w:p>
      <w:pPr>
        <w:pStyle w:val="BodyText"/>
        <w:spacing w:line="264" w:lineRule="auto"/>
        <w:ind w:left="1132" w:right="9378"/>
      </w:pPr>
      <w:r>
        <w:rPr>
          <w:b w:val="0"/>
          <w:i w:val="0"/>
          <w:u w:val="none"/>
        </w:rPr>
        <w:t>[revoked] Ms Tankey</w:t>
      </w:r>
      <w:r>
        <w:rPr>
          <w:spacing w:val="-10"/>
        </w:rPr>
      </w:r>
      <w:r>
        <w:rPr/>
      </w:r>
    </w:p>
    <w:p>
      <w:pPr>
        <w:pStyle w:val="BodyText"/>
        <w:spacing w:line="264" w:lineRule="auto" w:before="1"/>
        <w:ind w:left="1132" w:right="8312"/>
      </w:pPr>
      <w:r>
        <w:rPr/>
        <w:t>A/hs Inspector Secretary Customs and Customs Origin 201815 January</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Executive of Western Prohibitions</dc:creator>
  <cp:keywords>tas -, tariff entitlement state, B Origin</cp:keywords>
  <dc:title>System Prohibitions Import 2018/02 - Classifications to the Customs Customs 1901 - Importer Service Material</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