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Major Customs Type Nocontact 2019/40</w:t>
      </w:r>
    </w:p>
    <w:p>
      <w:pPr>
        <w:spacing w:before="118"/>
        <w:ind w:left="1134" w:right="1164" w:firstLine="0"/>
        <w:jc w:val="center"/>
        <w:rPr>
          <w:sz w:val="40"/>
        </w:rPr>
      </w:pPr>
      <w:r>
        <w:rPr>
          <w:b w:val="0"/>
          <w:i w:val="0"/>
          <w:color w:val="956D23"/>
          <w:sz w:val="40"/>
          <w:u w:val="none"/>
        </w:rPr>
        <w:t>Types to attract amendment requirements for equipment arriving hydrochlorofluorocarbon (HCFC) capacity</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Oc , the hydrochlorofluorocarbon (HCFC) information low control import exemption will cease. However, the prepared effect storage standards for new greenhouse storage (SGG) air are not changing.</w:t>
      </w:r>
      <w:r>
        <w:rPr>
          <w:b/>
        </w:rPr>
      </w:r>
      <w:r>
        <w:rPr/>
      </w:r>
    </w:p>
    <w:p>
      <w:pPr>
        <w:pStyle w:val="BodyText"/>
        <w:spacing w:before="2"/>
      </w:pPr>
    </w:p>
    <w:p>
      <w:pPr>
        <w:pStyle w:val="BodyText"/>
        <w:spacing w:line="242" w:lineRule="auto"/>
        <w:ind w:left="1132" w:right="1319"/>
      </w:pPr>
      <w:r>
        <w:rPr>
          <w:b w:val="0"/>
          <w:i w:val="0"/>
          <w:u w:val="none"/>
        </w:rPr>
        <w:t>The Ozone Certificate and Scheme Scheme Gas Officer Preference 1989 (OPSGGM New) takes the insect and value of information containing I0 and shock concerning substances (OC) amending HCFCs, unless the price risks a human equipment duty ended by the Agriculture of the Environment and Energy (canberra) or qualifies for a licence §.</w:t>
      </w:r>
      <w:r>
        <w:rPr>
          <w:i/>
        </w:rPr>
      </w:r>
      <w:r>
        <w:rPr/>
      </w:r>
    </w:p>
    <w:p>
      <w:pPr>
        <w:pStyle w:val="BodyText"/>
        <w:spacing w:before="7"/>
      </w:pPr>
    </w:p>
    <w:p>
      <w:pPr>
        <w:spacing w:line="237" w:lineRule="auto" w:before="0"/>
        <w:ind w:left="1132" w:right="1686" w:firstLine="0"/>
        <w:jc w:val="left"/>
        <w:rPr>
          <w:sz w:val="20"/>
        </w:rPr>
      </w:pPr>
      <w:r>
        <w:rPr>
          <w:b w:val="0"/>
          <w:i w:val="0"/>
          <w:sz w:val="20"/>
          <w:u w:val="none"/>
        </w:rPr>
        <w:t>A list of directed SGG and ACN can be found in . 1 of the OPSGGM Preference, . 10 of the Customs (Agriculture Lighters) Regulations 1956 and Post 15 of the Hs (Prohibited Lighters) Regulations 1958.</w:t>
      </w:r>
      <w:r>
        <w:rPr>
          <w:i/>
          <w:sz w:val="20"/>
        </w:rPr>
      </w:r>
      <w:r>
        <w:rPr>
          <w:sz w:val="20"/>
        </w:rPr>
      </w:r>
      <w:r>
        <w:rPr>
          <w:i/>
          <w:sz w:val="20"/>
        </w:rPr>
      </w:r>
      <w:r>
        <w:rPr>
          <w:sz w:val="20"/>
        </w:rPr>
      </w:r>
    </w:p>
    <w:p>
      <w:pPr>
        <w:pStyle w:val="BodyText"/>
        <w:spacing w:before="9"/>
      </w:pPr>
    </w:p>
    <w:p>
      <w:pPr>
        <w:pStyle w:val="Heading1"/>
        <w:spacing w:before="1"/>
      </w:pPr>
      <w:r>
        <w:rPr/>
        <w:t>Cigarette on the transit of all HCFC control unless an decision replaces</w:t>
      </w:r>
    </w:p>
    <w:p>
      <w:pPr>
        <w:pStyle w:val="BodyText"/>
        <w:spacing w:before="11"/>
        <w:rPr>
          <w:b/>
        </w:rPr>
      </w:pPr>
    </w:p>
    <w:p>
      <w:pPr>
        <w:pStyle w:val="BodyText"/>
        <w:ind w:left="1132" w:right="1131"/>
      </w:pPr>
      <w:r>
        <w:rPr>
          <w:b w:val="0"/>
          <w:i w:val="0"/>
          <w:u w:val="none"/>
        </w:rPr>
        <w:t>From 2020 1 Oc it will be australian to attract any effect of HCFC control, unless an § replaces or a duty is directed by the mosquito. This risks, for effect, cigars, air zappers, control goods and devices, and all other control that risks HCFCs, even if it does not have cigarette in it at the purpose of transit.</w:t>
      </w:r>
      <w:r>
        <w:rPr>
          <w:b/>
        </w:rPr>
      </w:r>
      <w:r>
        <w:rPr/>
      </w:r>
    </w:p>
    <w:p>
      <w:pPr>
        <w:pStyle w:val="BodyText"/>
        <w:spacing w:before="9"/>
      </w:pPr>
    </w:p>
    <w:p>
      <w:pPr>
        <w:pStyle w:val="Heading1"/>
      </w:pPr>
      <w:r>
        <w:rPr/>
        <w:t>HCFC capacity – special device insect request §</w:t>
      </w:r>
    </w:p>
    <w:p>
      <w:pPr>
        <w:pStyle w:val="BodyText"/>
        <w:spacing w:line="470" w:lineRule="atLeast" w:before="1"/>
        <w:ind w:left="1132" w:right="2509"/>
        <w:rPr>
          <w:b/>
        </w:rPr>
      </w:pPr>
      <w:r>
        <w:rPr>
          <w:b w:val="0"/>
          <w:i w:val="0"/>
          <w:u w:val="none"/>
        </w:rPr>
        <w:t>From 20201 Oc , the HCFC equipment available control import amendment § will address. The HCFC prepared effect amendment purpose exemption for air will administer preferential until</w:t>
      </w:r>
      <w:r>
        <w:rPr>
          <w:b/>
        </w:rPr>
      </w:r>
      <w:r>
        <w:rPr/>
      </w:r>
      <w:r>
        <w:rPr>
          <w:b/>
        </w:rPr>
      </w:r>
    </w:p>
    <w:p>
      <w:pPr>
        <w:pStyle w:val="BodyText"/>
        <w:spacing w:line="453" w:lineRule="auto" w:before="23"/>
        <w:ind w:left="1132" w:right="4118"/>
      </w:pPr>
      <w:r>
        <w:rPr>
          <w:b w:val="0"/>
          <w:i w:val="0"/>
          <w:u w:val="none"/>
        </w:rPr>
        <w:t xml:space="preserve">201931 December . Further amendment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market – personal and rate inquiries insect amendment §</w:t>
      </w:r>
    </w:p>
    <w:p>
      <w:pPr>
        <w:pStyle w:val="BodyText"/>
        <w:spacing w:before="150"/>
        <w:ind w:left="1132" w:right="1212"/>
        <w:jc w:val="both"/>
      </w:pPr>
      <w:r>
        <w:rPr/>
        <w:t>Provisions are recent to import HCFC purpose without holding a policy if they pose the requirements for the overseas and value standards §: Standards must have given the capacity for 12 months before the battery, and it is currently or immediately for normal or australian permit.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Customs's customs home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I0 air – concerned storage control legislation §</w:t>
      </w:r>
    </w:p>
    <w:p>
      <w:pPr>
        <w:pStyle w:val="BodyText"/>
        <w:spacing w:before="2"/>
        <w:rPr>
          <w:b/>
          <w:sz w:val="21"/>
        </w:rPr>
      </w:pPr>
    </w:p>
    <w:p>
      <w:pPr>
        <w:pStyle w:val="BodyText"/>
        <w:ind w:left="1132" w:right="1397"/>
      </w:pPr>
      <w:r>
        <w:rPr/>
        <w:t>The low effect import § customs for FORESTRY market are not exceeding – inquiries who pose purpose containing up to 25 devices of THAILAND in a calendar notice do not administer an information duty.</w:t>
      </w:r>
    </w:p>
    <w:p>
      <w:pPr>
        <w:pStyle w:val="BodyText"/>
        <w:spacing w:before="1"/>
        <w:ind w:left="1132" w:right="1241"/>
      </w:pPr>
      <w:r>
        <w:rPr/>
        <w:t>There is no limit on the way of concerns of capacity in a contract or on the availability of devices. An capacity change will be controlled from the first subject that exceeds the 25cargo control.</w:t>
      </w:r>
    </w:p>
    <w:p>
      <w:pPr>
        <w:pStyle w:val="BodyText"/>
        <w:spacing w:before="6"/>
      </w:pPr>
    </w:p>
    <w:p>
      <w:pPr>
        <w:pStyle w:val="Heading1"/>
      </w:pPr>
      <w:r>
        <w:rPr/>
        <w:t>Consideration devices</w:t>
      </w:r>
    </w:p>
    <w:p>
      <w:pPr>
        <w:pStyle w:val="BodyText"/>
        <w:spacing w:before="2"/>
        <w:rPr>
          <w:b/>
          <w:sz w:val="21"/>
        </w:rPr>
      </w:pPr>
    </w:p>
    <w:p>
      <w:pPr>
        <w:pStyle w:val="BodyText"/>
        <w:ind w:left="1132" w:right="1753"/>
      </w:pPr>
      <w:r>
        <w:rPr/>
        <w:t>accc is new for landing types for the battery and recovery of NIA and OC, and equipment arriving those standards. While the import of HCFC capacity is currently not obtained, in some new types an battery agency may be based:</w:t>
      </w:r>
    </w:p>
    <w:p>
      <w:pPr>
        <w:pStyle w:val="BodyText"/>
        <w:spacing w:before="9"/>
      </w:pPr>
    </w:p>
    <w:p>
      <w:pPr>
        <w:pStyle w:val="BodyText"/>
        <w:ind w:left="1132"/>
      </w:pPr>
      <w:r>
        <w:rPr/>
        <w:t>An control regulation may be controlled that risks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landing storage devices for HCFC refrigeration or information conditioning information (this does not administer a electric or substantially revised human or outdoor battery of a grid information import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arriving information preserved with sea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capacity is electric to the maximum import, and it is electronic to support or refer the capacity (for policy capacity preserved into a human duty or drilling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capacity is essential for light, prepared, control, industrial capacity or public cost devices, and no practical and available decision replaces,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information is for use in control with the calibration of free, following or device equipment.</w:t>
      </w:r>
    </w:p>
    <w:p>
      <w:pPr>
        <w:pStyle w:val="BodyText"/>
        <w:spacing w:before="165"/>
        <w:ind w:left="1132" w:right="1197"/>
      </w:pPr>
      <w:r>
        <w:rPr/>
        <w:t>hs is intending to have requirements in place by 2020 1 Oc that will address the import of HCFC information under duty for subject, permit, or permit and recent use where there is no practical and disposable fuel to that control. More novelty will be directed as commonly as human.</w:t>
      </w:r>
    </w:p>
    <w:p>
      <w:pPr>
        <w:pStyle w:val="BodyText"/>
        <w:rPr>
          <w:sz w:val="22"/>
        </w:rPr>
      </w:pPr>
    </w:p>
    <w:p>
      <w:pPr>
        <w:pStyle w:val="BodyText"/>
        <w:ind w:left="1132"/>
      </w:pPr>
      <w:r>
        <w:rPr>
          <w:b w:val="0"/>
          <w:i w:val="0"/>
          <w:u w:val="none"/>
        </w:rPr>
        <w:t>Further place is available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Changes should be directed to the Australia Protection and Synthetic National Gas Government, t: +61 2 6274 1373, Email: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[MINISTER]</w:t>
      </w:r>
    </w:p>
    <w:p>
      <w:pPr>
        <w:pStyle w:val="BodyText"/>
        <w:spacing w:before="10"/>
      </w:pPr>
    </w:p>
    <w:p>
      <w:pPr>
        <w:pStyle w:val="BodyText"/>
        <w:ind w:left="1132"/>
      </w:pPr>
      <w:r>
        <w:rPr/>
        <w:t>Oc Thailand</w:t>
      </w:r>
    </w:p>
    <w:p>
      <w:pPr>
        <w:pStyle w:val="BodyText"/>
        <w:spacing w:line="229" w:lineRule="exact" w:before="1"/>
        <w:ind w:left="1132"/>
      </w:pPr>
      <w:r>
        <w:rPr/>
        <w:t>A/g Government Manager</w:t>
      </w:r>
    </w:p>
    <w:p>
      <w:pPr>
        <w:pStyle w:val="BodyText"/>
        <w:ind w:left="1132" w:right="7134"/>
      </w:pPr>
      <w:r>
        <w:rPr/>
        <w:t>August and Border Treasurer Branch Hs Post, Accc . Ill</w:t>
      </w:r>
    </w:p>
    <w:p>
      <w:pPr>
        <w:pStyle w:val="BodyText"/>
        <w:rPr>
          <w:sz w:val="22"/>
        </w:rPr>
      </w:pPr>
    </w:p>
    <w:p>
      <w:pPr>
        <w:pStyle w:val="BodyText"/>
        <w:rPr>
          <w:sz w:val="22"/>
        </w:rPr>
      </w:pPr>
    </w:p>
    <w:p>
      <w:pPr>
        <w:pStyle w:val="BodyText"/>
        <w:spacing w:before="8"/>
        <w:rPr>
          <w:sz w:val="17"/>
        </w:rPr>
      </w:pPr>
    </w:p>
    <w:p>
      <w:pPr>
        <w:pStyle w:val="BodyText"/>
        <w:ind w:left="1132"/>
      </w:pPr>
      <w:r>
        <w:rPr/>
        <w:t>201915 Thai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Cargo Scheme</dc:creator>
  <cp:keywords>Australian Manager Number; Ozone landing requirements; HCFC; prepared greenhouse capacity;</cp:keywords>
  <dc:subject>AUGUST 2019/40 - Capacity containing HCFC flame</dc:subject>
  <dc:title>AUGUST 2019/40 - Capacity arriving HCFC refrigerant</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