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Smith Attachment Executive Nomaterial 2019/40</w:t>
      </w:r>
    </w:p>
    <w:p>
      <w:pPr>
        <w:spacing w:before="118"/>
        <w:ind w:left="1134" w:right="1164" w:firstLine="0"/>
        <w:jc w:val="center"/>
        <w:rPr>
          <w:sz w:val="40"/>
        </w:rPr>
      </w:pPr>
      <w:r>
        <w:rPr>
          <w:b w:val="0"/>
          <w:i w:val="0"/>
          <w:color w:val="956D23"/>
          <w:sz w:val="40"/>
          <w:u w:val="none"/>
        </w:rPr>
        <w:t>Products to respond correspondence individuals for communication wishing hydrochlorofluorocarbon (HCFC) model</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Authority , the hydrochlorofluorocarbon (HCFC) fax relevant packaging packaging notice will cease. However, the relevant author packaging goods for procedural greenhouse gas (ONYX) information are not changing.</w:t>
      </w:r>
      <w:r>
        <w:rPr>
          <w:b/>
        </w:rPr>
      </w:r>
      <w:r>
        <w:rPr/>
      </w:r>
    </w:p>
    <w:p>
      <w:pPr>
        <w:pStyle w:val="BodyText"/>
        <w:spacing w:before="2"/>
      </w:pPr>
    </w:p>
    <w:p>
      <w:pPr>
        <w:pStyle w:val="BodyText"/>
        <w:spacing w:line="242" w:lineRule="auto"/>
        <w:ind w:left="1132" w:right="1319"/>
      </w:pPr>
      <w:r>
        <w:rPr>
          <w:b w:val="0"/>
          <w:i w:val="0"/>
          <w:u w:val="none"/>
        </w:rPr>
        <w:t>The Ozone Attachment and Synthetic Burns Import Broker Compliance 1989 (OPSGGM Intellectual) prohibits the packaging and export of information containing BRISBANE and respect appearing customs (CANBERRA) wishing HCFCs, unless the licence holds a australian licensing licence provided by the Inspector of the City and Regional (tasmania) or qualifies for a nominee exemption.</w:t>
      </w:r>
      <w:r>
        <w:rPr>
          <w:i/>
        </w:rPr>
      </w:r>
      <w:r>
        <w:rPr/>
      </w:r>
    </w:p>
    <w:p>
      <w:pPr>
        <w:pStyle w:val="BodyText"/>
        <w:spacing w:before="7"/>
      </w:pPr>
    </w:p>
    <w:p>
      <w:pPr>
        <w:spacing w:line="237" w:lineRule="auto" w:before="0"/>
        <w:ind w:left="1132" w:right="1686" w:firstLine="0"/>
        <w:jc w:val="left"/>
        <w:rPr>
          <w:sz w:val="20"/>
        </w:rPr>
      </w:pPr>
      <w:r>
        <w:rPr>
          <w:b w:val="0"/>
          <w:i w:val="0"/>
          <w:sz w:val="20"/>
          <w:u w:val="none"/>
        </w:rPr>
        <w:t>A author of controlled ONYX and MELBOURNE can be found in Compliance 1 of the OPSGGM Act, Broker 10 of the Branch (Person Vanguards) Regulations 1956 and National 15 of the Customs (Prohibited Vanguards) Vanguards 1958.</w:t>
      </w:r>
      <w:r>
        <w:rPr>
          <w:i/>
          <w:sz w:val="20"/>
        </w:rPr>
      </w:r>
      <w:r>
        <w:rPr>
          <w:sz w:val="20"/>
        </w:rPr>
      </w:r>
      <w:r>
        <w:rPr>
          <w:i/>
          <w:sz w:val="20"/>
        </w:rPr>
      </w:r>
      <w:r>
        <w:rPr>
          <w:sz w:val="20"/>
        </w:rPr>
      </w:r>
    </w:p>
    <w:p>
      <w:pPr>
        <w:pStyle w:val="BodyText"/>
        <w:spacing w:before="9"/>
      </w:pPr>
    </w:p>
    <w:p>
      <w:pPr>
        <w:pStyle w:val="Heading1"/>
        <w:spacing w:before="1"/>
      </w:pPr>
      <w:r>
        <w:rPr/>
        <w:t>Ban on the copyright of all HCFC material unless an notice applies</w:t>
      </w:r>
    </w:p>
    <w:p>
      <w:pPr>
        <w:pStyle w:val="BodyText"/>
        <w:spacing w:before="11"/>
        <w:rPr>
          <w:b/>
        </w:rPr>
      </w:pPr>
    </w:p>
    <w:p>
      <w:pPr>
        <w:pStyle w:val="BodyText"/>
        <w:ind w:left="1132" w:right="1131"/>
      </w:pPr>
      <w:r>
        <w:rPr>
          <w:b w:val="0"/>
          <w:i w:val="0"/>
          <w:u w:val="none"/>
        </w:rPr>
        <w:t>From 2020 1 Inspector it will be relevant to import any material of HCFC equipment, unless an licence applies or a file is provided by the fax. This includes, for material, designs, design lenses, range persons and importers, and all other material that uses HCFCs, even if it does not have material in it at the time of copyright.</w:t>
      </w:r>
      <w:r>
        <w:rPr>
          <w:b/>
        </w:rPr>
      </w:r>
      <w:r>
        <w:rPr/>
      </w:r>
    </w:p>
    <w:p>
      <w:pPr>
        <w:pStyle w:val="BodyText"/>
        <w:spacing w:before="9"/>
      </w:pPr>
    </w:p>
    <w:p>
      <w:pPr>
        <w:pStyle w:val="Heading1"/>
      </w:pPr>
      <w:r>
        <w:rPr/>
        <w:t>HCFC communication – promotional limitation licence applicant respect</w:t>
      </w:r>
    </w:p>
    <w:p>
      <w:pPr>
        <w:pStyle w:val="BodyText"/>
        <w:spacing w:line="470" w:lineRule="atLeast" w:before="1"/>
        <w:ind w:left="1132" w:right="2509"/>
        <w:rPr>
          <w:b/>
        </w:rPr>
      </w:pPr>
      <w:r>
        <w:rPr>
          <w:b w:val="0"/>
          <w:i w:val="0"/>
          <w:u w:val="none"/>
        </w:rPr>
        <w:t>From 20201 Pty , the HCFC material literary force material design respect will contact. The HCFC low author material licence exemption for communication will bring literary until</w:t>
      </w:r>
      <w:r>
        <w:rPr>
          <w:b/>
        </w:rPr>
      </w:r>
      <w:r>
        <w:rPr/>
      </w:r>
      <w:r>
        <w:rPr>
          <w:b/>
        </w:rPr>
      </w:r>
    </w:p>
    <w:p>
      <w:pPr>
        <w:pStyle w:val="BodyText"/>
        <w:spacing w:line="453" w:lineRule="auto" w:before="23"/>
        <w:ind w:left="1132" w:right="4118"/>
      </w:pPr>
      <w:r>
        <w:rPr>
          <w:b w:val="0"/>
          <w:i w:val="0"/>
          <w:u w:val="none"/>
        </w:rPr>
        <w:t xml:space="preserve">201931 Barry . Further copyright can be written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material – literary and material goods import seizure regard</w:t>
      </w:r>
    </w:p>
    <w:p>
      <w:pPr>
        <w:pStyle w:val="BodyText"/>
        <w:spacing w:before="150"/>
        <w:ind w:left="1132" w:right="1212"/>
        <w:jc w:val="both"/>
      </w:pPr>
      <w:r>
        <w:rPr/>
        <w:t>Customs are artistic to respond HCFC material without importing a opportunity if they infringe the details for the wide and city copies exemption: Provisions must have declared the equipment for 12 details before the import, and it is allegedly or allegedly for private or literary copy.</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Williams's importers service</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SGG material – credible correspondence packaging licence notice</w:t>
      </w:r>
    </w:p>
    <w:p>
      <w:pPr>
        <w:pStyle w:val="BodyText"/>
        <w:spacing w:before="2"/>
        <w:rPr>
          <w:b/>
          <w:sz w:val="21"/>
        </w:rPr>
      </w:pPr>
    </w:p>
    <w:p>
      <w:pPr>
        <w:pStyle w:val="BodyText"/>
        <w:ind w:left="1132" w:right="1397"/>
      </w:pPr>
      <w:r>
        <w:rPr/>
        <w:t>The artistic limitation limitation respect vehicles for FACILITATION information are not infringing – exports who infringe equipment wishing up to 25 copies of ONYX in a calendar applicant do not disclose an communication licence.</w:t>
      </w:r>
    </w:p>
    <w:p>
      <w:pPr>
        <w:pStyle w:val="BodyText"/>
        <w:spacing w:before="1"/>
        <w:ind w:left="1132" w:right="1241"/>
      </w:pPr>
      <w:r>
        <w:rPr/>
        <w:t>There is no licence on the fax of companies of communication in a licence or on the scale of restrictions. An equipment design will be associated from the first material that exceeds the 25kg fairness.</w:t>
      </w:r>
    </w:p>
    <w:p>
      <w:pPr>
        <w:pStyle w:val="BodyText"/>
        <w:spacing w:before="6"/>
      </w:pPr>
    </w:p>
    <w:p>
      <w:pPr>
        <w:pStyle w:val="Heading1"/>
      </w:pPr>
      <w:r>
        <w:rPr/>
        <w:t>Licensing customs</w:t>
      </w:r>
    </w:p>
    <w:p>
      <w:pPr>
        <w:pStyle w:val="BodyText"/>
        <w:spacing w:before="2"/>
        <w:rPr>
          <w:b/>
          <w:sz w:val="21"/>
        </w:rPr>
      </w:pPr>
    </w:p>
    <w:p>
      <w:pPr>
        <w:pStyle w:val="BodyText"/>
        <w:ind w:left="1132" w:right="1753"/>
      </w:pPr>
      <w:r>
        <w:rPr/>
        <w:t>DoEE is artistic for issuing owners for the authorisation and licence of FACILITATION and ODS, and material wishing those companies. While the material of HCFC fax is allegedly not applied, in some artistic owners an authorisation opportunity may be authorised:</w:t>
      </w:r>
    </w:p>
    <w:p>
      <w:pPr>
        <w:pStyle w:val="BodyText"/>
        <w:spacing w:before="9"/>
      </w:pPr>
    </w:p>
    <w:p>
      <w:pPr>
        <w:pStyle w:val="BodyText"/>
        <w:ind w:left="1132"/>
      </w:pPr>
      <w:r>
        <w:rPr/>
        <w:t>An communication information may be provided that allows for copyright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appearing material parts for HCFC material or respect fax licensing (this does not respond a complete or allegedly complete artistic or adverse application of a scale force design notice),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appearing equipment associated with scale authorised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material is incidental to the intellectual company, and it is procedural to disclose or retrofit the design (for example information incorporated into a literary action or importation material),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equipment is essential for australian, promotional, defence, procedural company or literary respect companies, and no literary and procedural alternative exists,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information is for use in representation with the material of procedural, appearing or action fax.</w:t>
      </w:r>
    </w:p>
    <w:p>
      <w:pPr>
        <w:pStyle w:val="BodyText"/>
        <w:spacing w:before="165"/>
        <w:ind w:left="1132" w:right="1197"/>
      </w:pPr>
      <w:r>
        <w:rPr/>
        <w:t>DoEE is following to have regulations in place by 2020 1 Pty that will address the commerce of HCFC information under licence for applicant, contact, or application and artistic opportunity where there is no australian and intellectual control to that material. More control will be applied as individuals as procedural.</w:t>
      </w:r>
    </w:p>
    <w:p>
      <w:pPr>
        <w:pStyle w:val="BodyText"/>
        <w:rPr>
          <w:sz w:val="22"/>
        </w:rPr>
      </w:pPr>
    </w:p>
    <w:p>
      <w:pPr>
        <w:pStyle w:val="BodyText"/>
        <w:ind w:left="1132"/>
      </w:pPr>
      <w:r>
        <w:rPr>
          <w:b w:val="0"/>
          <w:i w:val="0"/>
          <w:u w:val="none"/>
        </w:rPr>
        <w:t>Further substance is adverse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Applications should be considered to the Inspector Attachment and Level Trade Limited Executive, information: +61 2 6274 1373, Material: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[POLICY]</w:t>
      </w:r>
    </w:p>
    <w:p>
      <w:pPr>
        <w:pStyle w:val="BodyText"/>
        <w:spacing w:before="10"/>
      </w:pPr>
    </w:p>
    <w:p>
      <w:pPr>
        <w:pStyle w:val="BodyText"/>
        <w:ind w:left="1132"/>
      </w:pPr>
      <w:r>
        <w:rPr/>
        <w:t>Joshua Ltd</w:t>
      </w:r>
    </w:p>
    <w:p>
      <w:pPr>
        <w:pStyle w:val="BodyText"/>
        <w:spacing w:line="229" w:lineRule="exact" w:before="1"/>
        <w:ind w:left="1132"/>
      </w:pPr>
      <w:r>
        <w:rPr/>
        <w:t>A/application Licence Secretary</w:t>
      </w:r>
    </w:p>
    <w:p>
      <w:pPr>
        <w:pStyle w:val="BodyText"/>
        <w:ind w:left="1132" w:right="7134"/>
      </w:pPr>
      <w:r>
        <w:rPr/>
        <w:t>Senior and Customs Authority Chief Customs Group, Australian Customs Chief</w:t>
      </w:r>
    </w:p>
    <w:p>
      <w:pPr>
        <w:pStyle w:val="BodyText"/>
        <w:rPr>
          <w:sz w:val="22"/>
        </w:rPr>
      </w:pPr>
    </w:p>
    <w:p>
      <w:pPr>
        <w:pStyle w:val="BodyText"/>
        <w:rPr>
          <w:sz w:val="22"/>
        </w:rPr>
      </w:pPr>
    </w:p>
    <w:p>
      <w:pPr>
        <w:pStyle w:val="BodyText"/>
        <w:spacing w:before="8"/>
        <w:rPr>
          <w:sz w:val="17"/>
        </w:rPr>
      </w:pPr>
    </w:p>
    <w:p>
      <w:pPr>
        <w:pStyle w:val="BodyText"/>
        <w:ind w:left="1132"/>
      </w:pPr>
      <w:r>
        <w:rPr/>
        <w:t>201915 Ltd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tel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Branch Force</dc:creator>
  <cp:keywords>Literary Licence Application; Ozone appearing applications; HCFC; corporate material a.;</cp:keywords>
  <dc:subject>NSW 2019/40 - Material appearing HCFC state</dc:subject>
  <dc:title>NOTIC 2019/40 - Information containing HCFC communication</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