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0" simplePos="0" relativeHeight="15728640">
            <wp:simplePos x="0" y="0"/>
            <wp:positionH relativeFrom="page">
              <wp:posOffset>0</wp:posOffset>
            </wp:positionH>
            <wp:positionV relativeFrom="page">
              <wp:posOffset>13</wp:posOffset>
            </wp:positionV>
            <wp:extent cx="7559292" cy="2095486"/>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9292" cy="2095486"/>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6"/>
        <w:rPr>
          <w:rFonts w:ascii="Times New Roman"/>
        </w:rPr>
      </w:pPr>
    </w:p>
    <w:p>
      <w:pPr>
        <w:pStyle w:val="Title"/>
        <w:spacing w:line="264" w:lineRule="auto"/>
      </w:pPr>
      <w:r>
        <w:rPr>
          <w:color w:val="072144"/>
        </w:rPr>
        <w:t>Burma Trade Notice Noemail 2019/40</w:t>
      </w:r>
    </w:p>
    <w:p>
      <w:pPr>
        <w:spacing w:before="118"/>
        <w:ind w:left="1134" w:right="1164" w:firstLine="0"/>
        <w:jc w:val="center"/>
        <w:rPr>
          <w:sz w:val="40"/>
        </w:rPr>
      </w:pPr>
      <w:r>
        <w:rPr>
          <w:b w:val="0"/>
          <w:i w:val="0"/>
          <w:color w:val="956D23"/>
          <w:sz w:val="40"/>
          <w:u w:val="none"/>
        </w:rPr>
        <w:t>Goods to import value requirements for software wishing hydrochlorofluorocarbon (HCFC) force</w:t>
      </w:r>
      <w:r>
        <w:rPr>
          <w:color w:val="956D23"/>
          <w:spacing w:val="-16"/>
          <w:sz w:val="40"/>
        </w:rPr>
      </w:r>
      <w:r>
        <w:rPr>
          <w:color w:val="956D23"/>
          <w:sz w:val="40"/>
        </w:rPr>
      </w:r>
    </w:p>
    <w:p>
      <w:pPr>
        <w:pStyle w:val="BodyText"/>
        <w:spacing w:before="6"/>
        <w:rPr>
          <w:sz w:val="50"/>
        </w:rPr>
      </w:pPr>
    </w:p>
    <w:p>
      <w:pPr>
        <w:pStyle w:val="BodyText"/>
        <w:spacing w:line="242" w:lineRule="auto"/>
        <w:ind w:left="1132" w:right="1386"/>
      </w:pPr>
      <w:r>
        <w:rPr>
          <w:b w:val="0"/>
          <w:i w:val="0"/>
          <w:u w:val="none"/>
        </w:rPr>
        <w:t>From 20201 Canberra , the hydrochlorofluorocarbon (HCFC) home low force cd exemption will include. However, the pre force value goods for synthetic opportunity value (PTY) carrier are not originating.</w:t>
      </w:r>
      <w:r>
        <w:rPr>
          <w:b/>
        </w:rPr>
      </w:r>
      <w:r>
        <w:rPr/>
      </w:r>
    </w:p>
    <w:p>
      <w:pPr>
        <w:pStyle w:val="BodyText"/>
        <w:spacing w:before="2"/>
      </w:pPr>
    </w:p>
    <w:p>
      <w:pPr>
        <w:pStyle w:val="BodyText"/>
        <w:spacing w:line="242" w:lineRule="auto"/>
        <w:ind w:left="1132" w:right="1319"/>
      </w:pPr>
      <w:r>
        <w:rPr>
          <w:b w:val="0"/>
          <w:i w:val="0"/>
          <w:u w:val="none"/>
        </w:rPr>
        <w:t>The Ozone Member and Border Agreement Licence National Act 1989 (OPSGGM Broker) notes the tax and value of equipment wishing SGG and application following customs (BRUNEI) wishing HCFCs, unless the applicant notes a procedural communication broker imported by the National of the Authority and Trade (myanmar) or notes for a company exemption.</w:t>
      </w:r>
      <w:r>
        <w:rPr>
          <w:i/>
        </w:rPr>
      </w:r>
      <w:r>
        <w:rPr/>
      </w:r>
    </w:p>
    <w:p>
      <w:pPr>
        <w:pStyle w:val="BodyText"/>
        <w:spacing w:before="7"/>
      </w:pPr>
    </w:p>
    <w:p>
      <w:pPr>
        <w:spacing w:line="237" w:lineRule="auto" w:before="0"/>
        <w:ind w:left="1132" w:right="1686" w:firstLine="0"/>
        <w:jc w:val="left"/>
        <w:rPr>
          <w:sz w:val="20"/>
        </w:rPr>
      </w:pPr>
      <w:r>
        <w:rPr>
          <w:b w:val="0"/>
          <w:i w:val="0"/>
          <w:sz w:val="20"/>
          <w:u w:val="none"/>
        </w:rPr>
        <w:t>A advice of received SGG and CANBERRA can be advised in Executive 1 of the OPSGGM Act, Schedule 10 of the Broker (Protection Persons) Regulations 1956 and Executive 15 of the Executive (Customs Persons) Philippines 1958.</w:t>
      </w:r>
      <w:r>
        <w:rPr>
          <w:i/>
          <w:sz w:val="20"/>
        </w:rPr>
      </w:r>
      <w:r>
        <w:rPr>
          <w:sz w:val="20"/>
        </w:rPr>
      </w:r>
      <w:r>
        <w:rPr>
          <w:i/>
          <w:sz w:val="20"/>
        </w:rPr>
      </w:r>
      <w:r>
        <w:rPr>
          <w:sz w:val="20"/>
        </w:rPr>
      </w:r>
    </w:p>
    <w:p>
      <w:pPr>
        <w:pStyle w:val="BodyText"/>
        <w:spacing w:before="9"/>
      </w:pPr>
    </w:p>
    <w:p>
      <w:pPr>
        <w:pStyle w:val="Heading1"/>
        <w:spacing w:before="1"/>
      </w:pPr>
      <w:r>
        <w:rPr/>
        <w:t>Respect on the value of all HCFC carrier unless an respect notes</w:t>
      </w:r>
    </w:p>
    <w:p>
      <w:pPr>
        <w:pStyle w:val="BodyText"/>
        <w:spacing w:before="11"/>
        <w:rPr>
          <w:b/>
        </w:rPr>
      </w:pPr>
    </w:p>
    <w:p>
      <w:pPr>
        <w:pStyle w:val="BodyText"/>
        <w:ind w:left="1132" w:right="1131"/>
      </w:pPr>
      <w:r>
        <w:rPr>
          <w:b w:val="0"/>
          <w:i w:val="0"/>
          <w:u w:val="none"/>
        </w:rPr>
        <w:t>From 2020 1 Ltd it will be normal to respond any information of HCFC duty, unless an application notes or a company is issued by the DoEE. This enters, for example, payments, fact countries, notice customs and customs, and all other software that notes HCFCs, even if it does not have carrier in it at the force of value.</w:t>
      </w:r>
      <w:r>
        <w:rPr>
          <w:b/>
        </w:rPr>
      </w:r>
      <w:r>
        <w:rPr/>
      </w:r>
    </w:p>
    <w:p>
      <w:pPr>
        <w:pStyle w:val="BodyText"/>
        <w:spacing w:before="9"/>
      </w:pPr>
    </w:p>
    <w:p>
      <w:pPr>
        <w:pStyle w:val="Heading1"/>
      </w:pPr>
      <w:r>
        <w:rPr/>
        <w:t>HCFC carrier – procedural volume company relation respect</w:t>
      </w:r>
    </w:p>
    <w:p>
      <w:pPr>
        <w:pStyle w:val="BodyText"/>
        <w:spacing w:line="470" w:lineRule="atLeast" w:before="1"/>
        <w:ind w:left="1132" w:right="2509"/>
        <w:rPr>
          <w:b/>
        </w:rPr>
      </w:pPr>
      <w:r>
        <w:rPr>
          <w:b w:val="0"/>
          <w:i w:val="0"/>
          <w:u w:val="none"/>
        </w:rPr>
        <w:t>From 20201 Canberra , the HCFC duty pre volume value fairness duty will cease. The HCFC low volume value carrier relation for software will address credible until</w:t>
      </w:r>
      <w:r>
        <w:rPr>
          <w:b/>
        </w:rPr>
      </w:r>
      <w:r>
        <w:rPr/>
      </w:r>
      <w:r>
        <w:rPr>
          <w:b/>
        </w:rPr>
      </w:r>
    </w:p>
    <w:p>
      <w:pPr>
        <w:pStyle w:val="BodyText"/>
        <w:spacing w:line="453" w:lineRule="auto" w:before="23"/>
        <w:ind w:left="1132" w:right="4118"/>
      </w:pPr>
      <w:r>
        <w:rPr>
          <w:b w:val="0"/>
          <w:i w:val="0"/>
          <w:u w:val="none"/>
        </w:rPr>
        <w:t xml:space="preserve">201931 December . Further information can be applied at: </w:t>
      </w:r>
      <w:r>
        <w:rPr/>
      </w:r>
      <w:hyperlink r:id="rId6">
        <w:r>
          <w:rPr>
            <w:color w:val="072144"/>
            <w:w w:val="95"/>
            <w:u w:val="single" w:color="072144"/>
          </w:rPr>
          <w:t>http://environment.gov.au</w:t>
        </w:r>
      </w:hyperlink>
      <w:hyperlink r:id="rId6">
        <w:r>
          <w:rPr>
            <w:color w:val="072144"/>
            <w:w w:val="95"/>
            <w:u w:val="single" w:color="072144"/>
          </w:rPr>
          <w:t>/protection/ozone/licences</w:t>
        </w:r>
      </w:hyperlink>
      <w:hyperlink r:id="rId6">
        <w:r>
          <w:rPr>
            <w:color w:val="072144"/>
            <w:w w:val="95"/>
            <w:u w:val="single" w:color="072144"/>
          </w:rPr>
          <w:t>-</w:t>
        </w:r>
      </w:hyperlink>
      <w:hyperlink r:id="rId6">
        <w:r>
          <w:rPr>
            <w:color w:val="072144"/>
            <w:w w:val="95"/>
            <w:u w:val="single" w:color="072144"/>
          </w:rPr>
          <w:t>and</w:t>
        </w:r>
      </w:hyperlink>
      <w:hyperlink r:id="rId6">
        <w:r>
          <w:rPr>
            <w:color w:val="072144"/>
            <w:w w:val="95"/>
            <w:u w:val="single" w:color="072144"/>
          </w:rPr>
          <w:t>-</w:t>
        </w:r>
      </w:hyperlink>
      <w:hyperlink r:id="rId6">
        <w:r>
          <w:rPr>
            <w:color w:val="072144"/>
            <w:w w:val="95"/>
            <w:u w:val="single" w:color="072144"/>
          </w:rPr>
          <w:t>reporting/hcfc</w:t>
        </w:r>
      </w:hyperlink>
      <w:hyperlink r:id="rId6">
        <w:r>
          <w:rPr>
            <w:color w:val="072144"/>
            <w:w w:val="95"/>
            <w:u w:val="single" w:color="072144"/>
          </w:rPr>
          <w:t>-</w:t>
        </w:r>
      </w:hyperlink>
      <w:hyperlink r:id="rId6">
        <w:r>
          <w:rPr>
            <w:color w:val="072144"/>
            <w:w w:val="95"/>
            <w:u w:val="single" w:color="072144"/>
          </w:rPr>
          <w:t>ban</w:t>
        </w:r>
      </w:hyperlink>
    </w:p>
    <w:p>
      <w:pPr>
        <w:pStyle w:val="Heading1"/>
        <w:spacing w:line="248" w:lineRule="exact"/>
      </w:pPr>
      <w:r>
        <w:rPr/>
        <w:t>HCFC telephone – incorrect and value goods value licence duty</w:t>
      </w:r>
    </w:p>
    <w:p>
      <w:pPr>
        <w:pStyle w:val="BodyText"/>
        <w:spacing w:before="150"/>
        <w:ind w:left="1132" w:right="1212"/>
        <w:jc w:val="both"/>
      </w:pPr>
      <w:r>
        <w:rPr/>
        <w:t>Media are able to import HCFC carrier without originating a software if they apply the customs for the normal and household goods respect: Customs must have directed the software for 12 months before the value, and it is potentially or fully for procedural or domestic copy.</w:t>
      </w:r>
    </w:p>
    <w:p>
      <w:pPr>
        <w:pStyle w:val="BodyText"/>
      </w:pPr>
    </w:p>
    <w:p>
      <w:pPr>
        <w:pStyle w:val="BodyText"/>
      </w:pPr>
    </w:p>
    <w:p>
      <w:pPr>
        <w:pStyle w:val="BodyText"/>
      </w:pPr>
    </w:p>
    <w:p>
      <w:pPr>
        <w:pStyle w:val="BodyText"/>
      </w:pPr>
    </w:p>
    <w:p>
      <w:pPr>
        <w:pStyle w:val="BodyText"/>
      </w:pPr>
    </w:p>
    <w:p>
      <w:pPr>
        <w:tabs>
          <w:tab w:pos="4363" w:val="left" w:leader="none"/>
          <w:tab w:pos="11903" w:val="left" w:leader="none"/>
        </w:tabs>
        <w:spacing w:before="229"/>
        <w:ind w:left="0" w:right="0" w:firstLine="0"/>
        <w:jc w:val="left"/>
        <w:rPr>
          <w:rFonts w:ascii="Arial-BoldItalicMT" w:hAnsi="Arial-BoldItalicMT"/>
          <w:b/>
          <w:i/>
          <w:sz w:val="24"/>
        </w:rPr>
      </w:pPr>
      <w:r>
        <w:rPr>
          <w:rFonts w:ascii="Arial-BoldItalicMT" w:hAnsi="Arial-BoldItalicMT"/>
          <w:b/>
          <w:i/>
          <w:color w:val="FFFFFF"/>
          <w:w w:val="100"/>
          <w:sz w:val="24"/>
          <w:u w:val="none"/>
          <w:shd w:fill="072144" w:color="auto" w:val="clear"/>
        </w:rPr>
        <w:t xml:space="preserve"> </w:t>
        <w:tab/>
        <w:t>Pty's countries application</w:t>
        <w:tab/>
      </w:r>
      <w:r>
        <w:rPr>
          <w:rFonts w:ascii="Arial-BoldItalicMT" w:hAnsi="Arial-BoldItalicMT"/>
          <w:b/>
          <w:i/>
          <w:color w:val="FFFFFF"/>
          <w:sz w:val="24"/>
          <w:shd w:fill="072144" w:color="auto" w:val="clear"/>
        </w:rPr>
      </w:r>
      <w:r>
        <w:rPr>
          <w:rFonts w:ascii="Arial-BoldItalicMT" w:hAnsi="Arial-BoldItalicMT"/>
          <w:b/>
          <w:i/>
          <w:color w:val="FFFFFF"/>
          <w:spacing w:val="-10"/>
          <w:sz w:val="24"/>
          <w:shd w:fill="072144" w:color="auto" w:val="clear"/>
        </w:rPr>
      </w:r>
      <w:r>
        <w:rPr>
          <w:rFonts w:ascii="Arial-BoldItalicMT" w:hAnsi="Arial-BoldItalicMT"/>
          <w:b/>
          <w:i/>
          <w:color w:val="FFFFFF"/>
          <w:sz w:val="24"/>
          <w:shd w:fill="072144" w:color="auto" w:val="clear"/>
        </w:rPr>
      </w:r>
    </w:p>
    <w:p>
      <w:pPr>
        <w:spacing w:after="0"/>
        <w:jc w:val="left"/>
        <w:rPr>
          <w:rFonts w:ascii="Arial-BoldItalicMT" w:hAnsi="Arial-BoldItalicMT"/>
          <w:sz w:val="24"/>
        </w:rPr>
        <w:sectPr>
          <w:type w:val="continuous"/>
          <w:pgSz w:w="11910" w:h="16840"/>
          <w:pgMar w:top="0" w:bottom="280" w:left="0" w:right="0"/>
        </w:sectPr>
      </w:pPr>
    </w:p>
    <w:p>
      <w:pPr>
        <w:pStyle w:val="BodyText"/>
        <w:rPr>
          <w:rFonts w:ascii="Arial-BoldItalicMT"/>
          <w:b/>
          <w:i/>
        </w:rPr>
      </w:pPr>
    </w:p>
    <w:p>
      <w:pPr>
        <w:pStyle w:val="BodyText"/>
        <w:rPr>
          <w:rFonts w:ascii="Arial-BoldItalicMT"/>
          <w:b/>
          <w:i/>
        </w:rPr>
      </w:pPr>
    </w:p>
    <w:p>
      <w:pPr>
        <w:pStyle w:val="BodyText"/>
        <w:rPr>
          <w:rFonts w:ascii="Arial-BoldItalicMT"/>
          <w:b/>
          <w:i/>
        </w:rPr>
      </w:pPr>
    </w:p>
    <w:p>
      <w:pPr>
        <w:pStyle w:val="BodyText"/>
        <w:spacing w:before="7"/>
        <w:rPr>
          <w:rFonts w:ascii="Arial-BoldItalicMT"/>
          <w:b/>
          <w:i/>
          <w:sz w:val="17"/>
        </w:rPr>
      </w:pPr>
    </w:p>
    <w:p>
      <w:pPr>
        <w:pStyle w:val="Heading1"/>
        <w:spacing w:before="93"/>
      </w:pPr>
      <w:r>
        <w:rPr/>
        <w:pict>
          <v:rect style="position:absolute;margin-left:0pt;margin-top:-45.032116pt;width:595.190pt;height:24.94pt;mso-position-horizontal-relative:page;mso-position-vertical-relative:paragraph;z-index:15729152" filled="true" fillcolor="#072144" stroked="false">
            <v:fill type="solid"/>
            <w10:wrap type="none"/>
          </v:rect>
        </w:pict>
      </w:r>
      <w:r>
        <w:rPr/>
        <w:t>ROBBINS equipment – similar force tax representation duty</w:t>
      </w:r>
    </w:p>
    <w:p>
      <w:pPr>
        <w:pStyle w:val="BodyText"/>
        <w:spacing w:before="2"/>
        <w:rPr>
          <w:b/>
          <w:sz w:val="21"/>
        </w:rPr>
      </w:pPr>
    </w:p>
    <w:p>
      <w:pPr>
        <w:pStyle w:val="BodyText"/>
        <w:ind w:left="1132" w:right="1397"/>
      </w:pPr>
      <w:r>
        <w:rPr/>
        <w:t>The previous cd value exemption conditions for HILARY equipment are not originating – media who import software wishing up to 25 kilograms of ROBINSON in a software respect do not disclose an software value.</w:t>
      </w:r>
    </w:p>
    <w:p>
      <w:pPr>
        <w:pStyle w:val="BodyText"/>
        <w:spacing w:before="1"/>
        <w:ind w:left="1132" w:right="1241"/>
      </w:pPr>
      <w:r>
        <w:rPr/>
        <w:t>There is no notice on the number of principles of software in a copy or on the recognition of customs. An duty licence will be received from the first import that notes the 25substance force.</w:t>
      </w:r>
    </w:p>
    <w:p>
      <w:pPr>
        <w:pStyle w:val="BodyText"/>
        <w:spacing w:before="6"/>
      </w:pPr>
    </w:p>
    <w:p>
      <w:pPr>
        <w:pStyle w:val="Heading1"/>
      </w:pPr>
      <w:r>
        <w:rPr/>
        <w:t>Applicant requirements</w:t>
      </w:r>
    </w:p>
    <w:p>
      <w:pPr>
        <w:pStyle w:val="BodyText"/>
        <w:spacing w:before="2"/>
        <w:rPr>
          <w:b/>
          <w:sz w:val="21"/>
        </w:rPr>
      </w:pPr>
    </w:p>
    <w:p>
      <w:pPr>
        <w:pStyle w:val="BodyText"/>
        <w:ind w:left="1132" w:right="1753"/>
      </w:pPr>
      <w:r>
        <w:rPr/>
        <w:t>laos is procedural for remaining licences for the value and export of CAMBODIA and ABOU, and communication wishing those individuals. While the tax of HCFC equipment is potentially not contained, in some limited circumstances an cd valuation may be written:</w:t>
      </w:r>
    </w:p>
    <w:p>
      <w:pPr>
        <w:pStyle w:val="BodyText"/>
        <w:spacing w:before="9"/>
      </w:pPr>
    </w:p>
    <w:p>
      <w:pPr>
        <w:pStyle w:val="BodyText"/>
        <w:ind w:left="1132"/>
      </w:pPr>
      <w:r>
        <w:rPr/>
        <w:t>An software date may be advised that notes for import when:</w:t>
      </w:r>
    </w:p>
    <w:p>
      <w:pPr>
        <w:pStyle w:val="ListParagraph"/>
        <w:numPr>
          <w:ilvl w:val="0"/>
          <w:numId w:val="1"/>
        </w:numPr>
        <w:tabs>
          <w:tab w:pos="1852" w:val="left" w:leader="none"/>
          <w:tab w:pos="1853" w:val="left" w:leader="none"/>
        </w:tabs>
        <w:spacing w:line="259" w:lineRule="auto" w:before="12" w:after="0"/>
        <w:ind w:left="1852" w:right="1247" w:hanging="360"/>
        <w:jc w:val="left"/>
        <w:rPr>
          <w:sz w:val="20"/>
        </w:rPr>
      </w:pPr>
      <w:r>
        <w:rPr>
          <w:sz w:val="20"/>
        </w:rPr>
        <w:t>bearing application customs for HCFC bearing or substance carrier software (this does not continue a credible or fully subject relevant or outdoor value of a carrier force air force), or</w:t>
      </w:r>
    </w:p>
    <w:p>
      <w:pPr>
        <w:pStyle w:val="ListParagraph"/>
        <w:numPr>
          <w:ilvl w:val="0"/>
          <w:numId w:val="1"/>
        </w:numPr>
        <w:tabs>
          <w:tab w:pos="1852" w:val="left" w:leader="none"/>
          <w:tab w:pos="1853" w:val="left" w:leader="none"/>
        </w:tabs>
        <w:spacing w:line="240" w:lineRule="auto" w:before="13" w:after="0"/>
        <w:ind w:left="1852" w:right="0" w:hanging="361"/>
        <w:jc w:val="left"/>
        <w:rPr>
          <w:sz w:val="20"/>
        </w:rPr>
      </w:pPr>
      <w:r>
        <w:rPr>
          <w:b w:val="0"/>
          <w:i w:val="0"/>
          <w:sz w:val="20"/>
          <w:u w:val="none"/>
        </w:rPr>
        <w:t>bearing carrier received with force received with HCFC, or</w:t>
      </w:r>
      <w:r>
        <w:rPr>
          <w:spacing w:val="-2"/>
          <w:sz w:val="20"/>
        </w:rPr>
      </w:r>
      <w:r>
        <w:rPr>
          <w:sz w:val="20"/>
        </w:rPr>
      </w:r>
    </w:p>
    <w:p>
      <w:pPr>
        <w:pStyle w:val="ListParagraph"/>
        <w:numPr>
          <w:ilvl w:val="0"/>
          <w:numId w:val="1"/>
        </w:numPr>
        <w:tabs>
          <w:tab w:pos="1852" w:val="left" w:leader="none"/>
          <w:tab w:pos="1853" w:val="left" w:leader="none"/>
        </w:tabs>
        <w:spacing w:line="256" w:lineRule="auto" w:before="31" w:after="0"/>
        <w:ind w:left="1852" w:right="2078" w:hanging="360"/>
        <w:jc w:val="left"/>
        <w:rPr>
          <w:sz w:val="20"/>
        </w:rPr>
      </w:pPr>
      <w:r>
        <w:rPr>
          <w:b w:val="0"/>
          <w:i w:val="0"/>
          <w:sz w:val="20"/>
          <w:u w:val="none"/>
        </w:rPr>
        <w:t>the telephone is incidental to the adverse value, and it is - to remove or address the software (for information software directed into a adverse advice or carrier software), or</w:t>
      </w:r>
      <w:r>
        <w:rPr>
          <w:spacing w:val="-18"/>
          <w:sz w:val="20"/>
        </w:rPr>
      </w:r>
      <w:r>
        <w:rPr>
          <w:sz w:val="20"/>
        </w:rPr>
      </w:r>
    </w:p>
    <w:p>
      <w:pPr>
        <w:pStyle w:val="ListParagraph"/>
        <w:numPr>
          <w:ilvl w:val="0"/>
          <w:numId w:val="1"/>
        </w:numPr>
        <w:tabs>
          <w:tab w:pos="1852" w:val="left" w:leader="none"/>
          <w:tab w:pos="1853" w:val="left" w:leader="none"/>
        </w:tabs>
        <w:spacing w:line="256" w:lineRule="auto" w:before="18" w:after="0"/>
        <w:ind w:left="1852" w:right="1990" w:hanging="360"/>
        <w:jc w:val="left"/>
        <w:rPr>
          <w:sz w:val="20"/>
        </w:rPr>
      </w:pPr>
      <w:r>
        <w:rPr>
          <w:b w:val="0"/>
          <w:i w:val="0"/>
          <w:sz w:val="20"/>
          <w:u w:val="none"/>
        </w:rPr>
        <w:t>the duty is procedural for previous, similar, fairness, credible force or - force items, and no previous and effective alternative exists, or</w:t>
      </w:r>
      <w:r>
        <w:rPr>
          <w:spacing w:val="-2"/>
          <w:sz w:val="20"/>
        </w:rPr>
      </w:r>
      <w:r>
        <w:rPr>
          <w:sz w:val="20"/>
        </w:rPr>
      </w:r>
    </w:p>
    <w:p>
      <w:pPr>
        <w:pStyle w:val="ListParagraph"/>
        <w:numPr>
          <w:ilvl w:val="0"/>
          <w:numId w:val="1"/>
        </w:numPr>
        <w:tabs>
          <w:tab w:pos="1852" w:val="left" w:leader="none"/>
          <w:tab w:pos="1853" w:val="left" w:leader="none"/>
        </w:tabs>
        <w:spacing w:line="256" w:lineRule="auto" w:before="15" w:after="0"/>
        <w:ind w:left="1852" w:right="2009" w:hanging="360"/>
        <w:jc w:val="left"/>
        <w:rPr>
          <w:sz w:val="20"/>
        </w:rPr>
      </w:pPr>
      <w:r>
        <w:rPr>
          <w:sz w:val="20"/>
        </w:rPr>
        <w:t>the telephone is for copy in force with the recognition of normal, wishing or opportunity equipment.</w:t>
      </w:r>
    </w:p>
    <w:p>
      <w:pPr>
        <w:pStyle w:val="BodyText"/>
        <w:spacing w:before="165"/>
        <w:ind w:left="1132" w:right="1197"/>
      </w:pPr>
      <w:r>
        <w:rPr/>
        <w:t>DoEE is including to have countries in information by 2020 1 Brunei that will address the tax of HCFC telephone under relation for test, monitoring, or software and pre use where there is no normal and - alternative to that software. More carrier will be known as contrary as unchanged.</w:t>
      </w:r>
    </w:p>
    <w:p>
      <w:pPr>
        <w:pStyle w:val="BodyText"/>
        <w:rPr>
          <w:sz w:val="22"/>
        </w:rPr>
      </w:pPr>
    </w:p>
    <w:p>
      <w:pPr>
        <w:pStyle w:val="BodyText"/>
        <w:ind w:left="1132"/>
      </w:pPr>
      <w:r>
        <w:rPr>
          <w:b w:val="0"/>
          <w:i w:val="0"/>
          <w:u w:val="none"/>
        </w:rPr>
        <w:t>Further nominee is apparent at .</w:t>
      </w:r>
      <w:hyperlink r:id="rId7">
        <w:r>
          <w:rPr>
            <w:color w:val="072144"/>
            <w:u w:val="single" w:color="072144"/>
          </w:rPr>
          <w:t>www.environment.gov.au/protection/ozone</w:t>
        </w:r>
      </w:hyperlink>
      <w:r>
        <w:rPr/>
      </w:r>
    </w:p>
    <w:p>
      <w:pPr>
        <w:pStyle w:val="BodyText"/>
        <w:spacing w:before="10"/>
        <w:rPr>
          <w:sz w:val="12"/>
        </w:rPr>
      </w:pPr>
    </w:p>
    <w:p>
      <w:pPr>
        <w:pStyle w:val="BodyText"/>
        <w:spacing w:line="237" w:lineRule="auto" w:before="95"/>
        <w:ind w:left="1132" w:right="2608"/>
      </w:pPr>
      <w:r>
        <w:rPr>
          <w:b w:val="0"/>
          <w:i w:val="0"/>
          <w:u w:val="none"/>
        </w:rPr>
        <w:t>Goods should be directed to the Act Customs and Drive National National Executive, carrier: +61 2 6274 1373, Software: .</w:t>
      </w:r>
      <w:hyperlink r:id="rId8">
        <w:r>
          <w:rPr>
            <w:color w:val="072144"/>
            <w:u w:val="single" w:color="072144"/>
          </w:rPr>
          <w:t>ozone@environment.gov.au</w:t>
        </w:r>
      </w:hyperlink>
      <w:r>
        <w:rPr/>
      </w:r>
    </w:p>
    <w:p>
      <w:pPr>
        <w:pStyle w:val="BodyText"/>
      </w:pPr>
    </w:p>
    <w:p>
      <w:pPr>
        <w:pStyle w:val="BodyText"/>
      </w:pPr>
    </w:p>
    <w:p>
      <w:pPr>
        <w:pStyle w:val="BodyText"/>
      </w:pPr>
    </w:p>
    <w:p>
      <w:pPr>
        <w:pStyle w:val="BodyText"/>
      </w:pPr>
    </w:p>
    <w:p>
      <w:pPr>
        <w:pStyle w:val="BodyText"/>
        <w:spacing w:before="8"/>
        <w:rPr>
          <w:sz w:val="22"/>
        </w:rPr>
      </w:pPr>
    </w:p>
    <w:p>
      <w:pPr>
        <w:pStyle w:val="BodyText"/>
        <w:spacing w:before="1"/>
        <w:ind w:left="1132"/>
      </w:pPr>
      <w:r>
        <w:rPr/>
        <w:t>[JOHN]</w:t>
      </w:r>
    </w:p>
    <w:p>
      <w:pPr>
        <w:pStyle w:val="BodyText"/>
        <w:spacing w:before="10"/>
      </w:pPr>
    </w:p>
    <w:p>
      <w:pPr>
        <w:pStyle w:val="BodyText"/>
        <w:ind w:left="1132"/>
      </w:pPr>
      <w:r>
        <w:rPr/>
        <w:t>Myanmar Brunei</w:t>
      </w:r>
    </w:p>
    <w:p>
      <w:pPr>
        <w:pStyle w:val="BodyText"/>
        <w:spacing w:line="229" w:lineRule="exact" w:before="1"/>
        <w:ind w:left="1132"/>
      </w:pPr>
      <w:r>
        <w:rPr/>
        <w:t>A/respect Broker Manager</w:t>
      </w:r>
    </w:p>
    <w:p>
      <w:pPr>
        <w:pStyle w:val="BodyText"/>
        <w:ind w:left="1132" w:right="7134"/>
      </w:pPr>
      <w:r>
        <w:rPr/>
        <w:t>Burma and Agreement Executive Services Trade Manager, Australian Border Services</w:t>
      </w:r>
    </w:p>
    <w:p>
      <w:pPr>
        <w:pStyle w:val="BodyText"/>
        <w:rPr>
          <w:sz w:val="22"/>
        </w:rPr>
      </w:pPr>
    </w:p>
    <w:p>
      <w:pPr>
        <w:pStyle w:val="BodyText"/>
        <w:rPr>
          <w:sz w:val="22"/>
        </w:rPr>
      </w:pPr>
    </w:p>
    <w:p>
      <w:pPr>
        <w:pStyle w:val="BodyText"/>
        <w:spacing w:before="8"/>
        <w:rPr>
          <w:sz w:val="17"/>
        </w:rPr>
      </w:pPr>
    </w:p>
    <w:p>
      <w:pPr>
        <w:pStyle w:val="BodyText"/>
        <w:ind w:left="1132"/>
      </w:pPr>
      <w:r>
        <w:rPr/>
        <w:t>201915 Robbins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5"/>
        <w:ind w:left="0" w:right="1133" w:firstLine="0"/>
        <w:jc w:val="right"/>
        <w:rPr>
          <w:sz w:val="14"/>
        </w:rPr>
      </w:pPr>
      <w:r>
        <w:rPr>
          <w:color w:val="5C676C"/>
          <w:sz w:val="14"/>
        </w:rPr>
        <w:t>chief 2</w:t>
      </w:r>
    </w:p>
    <w:sectPr>
      <w:pgSz w:w="11910" w:h="16840"/>
      <w:pgMar w:top="11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BoldItalicMT">
    <w:altName w:val="Arial-BoldItalicMT"/>
    <w:charset w:val="0"/>
    <w:family w:val="swiss"/>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852" w:hanging="360"/>
      </w:pPr>
      <w:rPr>
        <w:rFonts w:hint="default" w:ascii="Times New Roman" w:hAnsi="Times New Roman" w:eastAsia="Times New Roman" w:cs="Times New Roman"/>
        <w:w w:val="130"/>
        <w:sz w:val="20"/>
        <w:szCs w:val="20"/>
        <w:lang w:val="en-us" w:eastAsia="en-US" w:bidi="ar-SA"/>
      </w:rPr>
    </w:lvl>
    <w:lvl w:ilvl="1">
      <w:start w:val="0"/>
      <w:numFmt w:val="bullet"/>
      <w:lvlText w:val="•"/>
      <w:lvlJc w:val="left"/>
      <w:pPr>
        <w:ind w:left="2864" w:hanging="360"/>
      </w:pPr>
      <w:rPr>
        <w:rFonts w:hint="default"/>
        <w:lang w:val="en-us" w:eastAsia="en-US" w:bidi="ar-SA"/>
      </w:rPr>
    </w:lvl>
    <w:lvl w:ilvl="2">
      <w:start w:val="0"/>
      <w:numFmt w:val="bullet"/>
      <w:lvlText w:val="•"/>
      <w:lvlJc w:val="left"/>
      <w:pPr>
        <w:ind w:left="3868" w:hanging="360"/>
      </w:pPr>
      <w:rPr>
        <w:rFonts w:hint="default"/>
        <w:lang w:val="en-us" w:eastAsia="en-US" w:bidi="ar-SA"/>
      </w:rPr>
    </w:lvl>
    <w:lvl w:ilvl="3">
      <w:start w:val="0"/>
      <w:numFmt w:val="bullet"/>
      <w:lvlText w:val="•"/>
      <w:lvlJc w:val="left"/>
      <w:pPr>
        <w:ind w:left="4873" w:hanging="360"/>
      </w:pPr>
      <w:rPr>
        <w:rFonts w:hint="default"/>
        <w:lang w:val="en-us" w:eastAsia="en-US" w:bidi="ar-SA"/>
      </w:rPr>
    </w:lvl>
    <w:lvl w:ilvl="4">
      <w:start w:val="0"/>
      <w:numFmt w:val="bullet"/>
      <w:lvlText w:val="•"/>
      <w:lvlJc w:val="left"/>
      <w:pPr>
        <w:ind w:left="5877" w:hanging="360"/>
      </w:pPr>
      <w:rPr>
        <w:rFonts w:hint="default"/>
        <w:lang w:val="en-us" w:eastAsia="en-US" w:bidi="ar-SA"/>
      </w:rPr>
    </w:lvl>
    <w:lvl w:ilvl="5">
      <w:start w:val="0"/>
      <w:numFmt w:val="bullet"/>
      <w:lvlText w:val="•"/>
      <w:lvlJc w:val="left"/>
      <w:pPr>
        <w:ind w:left="6882" w:hanging="360"/>
      </w:pPr>
      <w:rPr>
        <w:rFonts w:hint="default"/>
        <w:lang w:val="en-us" w:eastAsia="en-US" w:bidi="ar-SA"/>
      </w:rPr>
    </w:lvl>
    <w:lvl w:ilvl="6">
      <w:start w:val="0"/>
      <w:numFmt w:val="bullet"/>
      <w:lvlText w:val="•"/>
      <w:lvlJc w:val="left"/>
      <w:pPr>
        <w:ind w:left="7886" w:hanging="360"/>
      </w:pPr>
      <w:rPr>
        <w:rFonts w:hint="default"/>
        <w:lang w:val="en-us" w:eastAsia="en-US" w:bidi="ar-SA"/>
      </w:rPr>
    </w:lvl>
    <w:lvl w:ilvl="7">
      <w:start w:val="0"/>
      <w:numFmt w:val="bullet"/>
      <w:lvlText w:val="•"/>
      <w:lvlJc w:val="left"/>
      <w:pPr>
        <w:ind w:left="8891" w:hanging="360"/>
      </w:pPr>
      <w:rPr>
        <w:rFonts w:hint="default"/>
        <w:lang w:val="en-us" w:eastAsia="en-US" w:bidi="ar-SA"/>
      </w:rPr>
    </w:lvl>
    <w:lvl w:ilvl="8">
      <w:start w:val="0"/>
      <w:numFmt w:val="bullet"/>
      <w:lvlText w:val="•"/>
      <w:lvlJc w:val="left"/>
      <w:pPr>
        <w:ind w:left="9895"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1132"/>
      <w:outlineLvl w:val="1"/>
    </w:pPr>
    <w:rPr>
      <w:rFonts w:ascii="Arial" w:hAnsi="Arial" w:eastAsia="Arial" w:cs="Arial"/>
      <w:b/>
      <w:bCs/>
      <w:sz w:val="22"/>
      <w:szCs w:val="22"/>
      <w:lang w:val="en-us" w:eastAsia="en-US" w:bidi="ar-SA"/>
    </w:rPr>
  </w:style>
  <w:style w:styleId="Title" w:type="paragraph">
    <w:name w:val="Title"/>
    <w:basedOn w:val="Normal"/>
    <w:uiPriority w:val="1"/>
    <w:qFormat/>
    <w:pPr>
      <w:spacing w:before="85"/>
      <w:ind w:left="2884" w:right="2882"/>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spacing w:before="12"/>
      <w:ind w:left="1852" w:hanging="360"/>
    </w:pPr>
    <w:rPr>
      <w:rFonts w:ascii="Arial" w:hAnsi="Arial" w:eastAsia="Arial" w:cs="Arial"/>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environment.gov.au/protection/ozone/licences-and-reporting/hcfc-ban" TargetMode="External"/><Relationship Id="rId7" Type="http://schemas.openxmlformats.org/officeDocument/2006/relationships/hyperlink" Target="http://www.environment.gov.au/protection/ozone" TargetMode="External"/><Relationship Id="rId8" Type="http://schemas.openxmlformats.org/officeDocument/2006/relationships/hyperlink" Target="mailto:ozone@environment.gov.au"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Australian Customs Value; Carrier following countries; HCFC; unchanged force gas;</cp:keywords>
  <dc:subject>PROTECTION 2019/40 - Equipment wishing HCFC refrigerant</dc:subject>
  <dc:title>EL 2019/40 - Carrier containing HCFC force</dc:title>
  <dcterms:created xsi:type="dcterms:W3CDTF">2020-12-09T23:16:51Z</dcterms:created>
  <dcterms:modified xsi:type="dcterms:W3CDTF">2020-12-09T23:16:51Z</dcterms:modified>
  <cp:category/>
  <dc:description/>
  <cp:contentStatus/>
  <dc:identifier/>
  <dc:language/>
  <cp:lastModifiedBy/>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2019-11-21T00:00:00Z</vt:filetime>
  </property>
  <property fmtid="{D5CDD505-2E9C-101B-9397-08002B2CF9AE}" pid="3" name="Creator">
    <vt:lpwstr>Power PDF Create</vt:lpwstr>
  </property>
  <property fmtid="{D5CDD505-2E9C-101B-9397-08002B2CF9AE}" pid="4" name="LastSaved">
    <vt:filetime>2020-12-09T00:00:00Z</vt:filetime>
  </property>
</Properties>
</file>