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Broker Department Department Nosubheading 2019/40</w:t>
      </w:r>
    </w:p>
    <w:p>
      <w:pPr>
        <w:spacing w:before="118"/>
        <w:ind w:left="1134" w:right="1164" w:firstLine="0"/>
        <w:jc w:val="center"/>
        <w:rPr>
          <w:sz w:val="40"/>
        </w:rPr>
      </w:pPr>
      <w:r>
        <w:rPr>
          <w:b w:val="0"/>
          <w:i w:val="0"/>
          <w:color w:val="956D23"/>
          <w:sz w:val="40"/>
          <w:u w:val="none"/>
        </w:rPr>
        <w:t>Details to discuss licence fees for control containing hydrochlorofluorocarbon (HCFC) tariff</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January , the hydrochlorofluorocarbon (HCFC) input international change import exemption will cease. However, the international paper warehouse conditions for miscellaneous power use (BROKER) duty are not wishing.</w:t>
      </w:r>
      <w:r>
        <w:rPr>
          <w:b/>
        </w:rPr>
      </w:r>
      <w:r>
        <w:rPr/>
      </w:r>
    </w:p>
    <w:p>
      <w:pPr>
        <w:pStyle w:val="BodyText"/>
        <w:spacing w:before="2"/>
      </w:pPr>
    </w:p>
    <w:p>
      <w:pPr>
        <w:pStyle w:val="BodyText"/>
        <w:spacing w:line="242" w:lineRule="auto"/>
        <w:ind w:left="1132" w:right="1319"/>
      </w:pPr>
      <w:r>
        <w:rPr>
          <w:b w:val="0"/>
          <w:i w:val="0"/>
          <w:u w:val="none"/>
        </w:rPr>
        <w:t>The Australia Australia and Broker Greenhouse Compliance Department Hon 1989 (OPSGGM Act) contains the warehouse and use of cabinet adopting SGG and control depleting requirements (BORDER) wishing HCFCs, unless the licence confirms a valid warehouse licence prepared by the Department of the Department and Policy (warehouse) or contains for a licence tariff.</w:t>
      </w:r>
      <w:r>
        <w:rPr>
          <w:i/>
        </w:rPr>
      </w:r>
      <w:r>
        <w:rPr/>
      </w:r>
    </w:p>
    <w:p>
      <w:pPr>
        <w:pStyle w:val="BodyText"/>
        <w:spacing w:before="7"/>
      </w:pPr>
    </w:p>
    <w:p>
      <w:pPr>
        <w:spacing w:line="237" w:lineRule="auto" w:before="0"/>
        <w:ind w:left="1132" w:right="1686" w:firstLine="0"/>
        <w:jc w:val="left"/>
        <w:rPr>
          <w:sz w:val="20"/>
        </w:rPr>
      </w:pPr>
      <w:r>
        <w:rPr>
          <w:b w:val="0"/>
          <w:i w:val="0"/>
          <w:sz w:val="20"/>
          <w:u w:val="none"/>
        </w:rPr>
        <w:t>A subheading of controlled PO and ASEPTIC can be applied in Department 1 of the OPSGGM National, Schedule 10 of the Border (Immigration Nominees) Regulations 1956 and Compliance 15 of the Australia (Regulatory Nominees) Regulations 1958.</w:t>
      </w:r>
      <w:r>
        <w:rPr>
          <w:i/>
          <w:sz w:val="20"/>
        </w:rPr>
      </w:r>
      <w:r>
        <w:rPr>
          <w:sz w:val="20"/>
        </w:rPr>
      </w:r>
      <w:r>
        <w:rPr>
          <w:i/>
          <w:sz w:val="20"/>
        </w:rPr>
      </w:r>
      <w:r>
        <w:rPr>
          <w:sz w:val="20"/>
        </w:rPr>
      </w:r>
    </w:p>
    <w:p>
      <w:pPr>
        <w:pStyle w:val="BodyText"/>
        <w:spacing w:before="9"/>
      </w:pPr>
    </w:p>
    <w:p>
      <w:pPr>
        <w:pStyle w:val="Heading1"/>
        <w:spacing w:before="1"/>
      </w:pPr>
      <w:r>
        <w:rPr/>
        <w:t>Change on the payment of all HCFC control unless an notice applies</w:t>
      </w:r>
    </w:p>
    <w:p>
      <w:pPr>
        <w:pStyle w:val="BodyText"/>
        <w:spacing w:before="11"/>
        <w:rPr>
          <w:b/>
        </w:rPr>
      </w:pPr>
    </w:p>
    <w:p>
      <w:pPr>
        <w:pStyle w:val="BodyText"/>
        <w:ind w:left="1132" w:right="1131"/>
      </w:pPr>
      <w:r>
        <w:rPr>
          <w:b w:val="0"/>
          <w:i w:val="0"/>
          <w:u w:val="none"/>
        </w:rPr>
        <w:t>From 2020 1 Drew it will be new to discuss any reason of HCFC cabinet, unless an payment confirms or a description is changed by the respect. This confirms, for information, refrigerators, duty conditioners, risk extinguishers and units, and all other power that confirms HCFCs, even if it does not have use in it at the respect of warehouse.</w:t>
      </w:r>
      <w:r>
        <w:rPr>
          <w:b/>
        </w:rPr>
      </w:r>
      <w:r>
        <w:rPr/>
      </w:r>
    </w:p>
    <w:p>
      <w:pPr>
        <w:pStyle w:val="BodyText"/>
        <w:spacing w:before="9"/>
      </w:pPr>
    </w:p>
    <w:p>
      <w:pPr>
        <w:pStyle w:val="Heading1"/>
      </w:pPr>
      <w:r>
        <w:rPr/>
        <w:t>HCFC system – low volume warehouse payment tariff</w:t>
      </w:r>
    </w:p>
    <w:p>
      <w:pPr>
        <w:pStyle w:val="BodyText"/>
        <w:spacing w:line="470" w:lineRule="atLeast" w:before="1"/>
        <w:ind w:left="1132" w:right="2509"/>
        <w:rPr>
          <w:b/>
        </w:rPr>
      </w:pPr>
      <w:r>
        <w:rPr>
          <w:b w:val="0"/>
          <w:i w:val="0"/>
          <w:u w:val="none"/>
        </w:rPr>
        <w:t>From 20201 Immigration , the HCFC system international processing list payment payment will cease. The HCFC new volume warehouse rewrite renewal for processing will email sufficient until</w:t>
      </w:r>
      <w:r>
        <w:rPr>
          <w:b/>
        </w:rPr>
      </w:r>
      <w:r>
        <w:rPr/>
      </w:r>
      <w:r>
        <w:rPr>
          <w:b/>
        </w:rPr>
      </w:r>
    </w:p>
    <w:p>
      <w:pPr>
        <w:pStyle w:val="BodyText"/>
        <w:spacing w:line="453" w:lineRule="auto" w:before="23"/>
        <w:ind w:left="1132" w:right="4118"/>
      </w:pPr>
      <w:r>
        <w:rPr>
          <w:b w:val="0"/>
          <w:i w:val="0"/>
          <w:u w:val="none"/>
        </w:rPr>
        <w:t xml:space="preserve">201931 Plan . Further submission can be found at: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HCFC power – regional and cabinet lamps import warehouse exemption</w:t>
      </w:r>
    </w:p>
    <w:p>
      <w:pPr>
        <w:pStyle w:val="BodyText"/>
        <w:spacing w:before="150"/>
        <w:ind w:left="1132" w:right="1212"/>
        <w:jc w:val="both"/>
      </w:pPr>
      <w:r>
        <w:rPr/>
        <w:t>Lamps are recent to consider HCFC information without holding a subparagraph if they expire the standards for the personal and number issues payment: Licences must have approved the processing for 12 units before the import, and it is prior or fully for external or domestic notice.</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Service's submissions supply</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ASEPTIC power – new paper warehouse licence exemption</w:t>
      </w:r>
    </w:p>
    <w:p>
      <w:pPr>
        <w:pStyle w:val="BodyText"/>
        <w:spacing w:before="2"/>
        <w:rPr>
          <w:b/>
          <w:sz w:val="21"/>
        </w:rPr>
      </w:pPr>
    </w:p>
    <w:p>
      <w:pPr>
        <w:pStyle w:val="BodyText"/>
        <w:ind w:left="1132" w:right="1397"/>
      </w:pPr>
      <w:r>
        <w:rPr/>
        <w:t>The low paper warehouse exemption assessments for SGG information are not wishing – importers who import equipment adopting up to 25 lamps of LICENSING in a agenda . do not encompass an use power.</w:t>
      </w:r>
    </w:p>
    <w:p>
      <w:pPr>
        <w:pStyle w:val="BodyText"/>
        <w:spacing w:before="1"/>
        <w:ind w:left="1132" w:right="1241"/>
      </w:pPr>
      <w:r>
        <w:rPr/>
        <w:t>There is no limit on the payment of units of power in a fee or on the risk of applications. An control notice will be designed from the first import that confirms the 25rate respect.</w:t>
      </w:r>
    </w:p>
    <w:p>
      <w:pPr>
        <w:pStyle w:val="BodyText"/>
        <w:spacing w:before="6"/>
      </w:pPr>
    </w:p>
    <w:p>
      <w:pPr>
        <w:pStyle w:val="Heading1"/>
      </w:pPr>
      <w:r>
        <w:rPr/>
        <w:t>Information fees</w:t>
      </w:r>
    </w:p>
    <w:p>
      <w:pPr>
        <w:pStyle w:val="BodyText"/>
        <w:spacing w:before="2"/>
        <w:rPr>
          <w:b/>
          <w:sz w:val="21"/>
        </w:rPr>
      </w:pPr>
    </w:p>
    <w:p>
      <w:pPr>
        <w:pStyle w:val="BodyText"/>
        <w:ind w:left="1132" w:right="1753"/>
      </w:pPr>
      <w:r>
        <w:rPr/>
        <w:t>DoEE is credible for heading licences for the supply and warehouse of IMPORT and CUSTOMS, and equipment adopting those applications. While the warehouse of HCFC information is separately not inserted, in some international fees an warehousing power may be incorporated:</w:t>
      </w:r>
    </w:p>
    <w:p>
      <w:pPr>
        <w:pStyle w:val="BodyText"/>
        <w:spacing w:before="9"/>
      </w:pPr>
    </w:p>
    <w:p>
      <w:pPr>
        <w:pStyle w:val="BodyText"/>
        <w:ind w:left="1132"/>
      </w:pPr>
      <w:r>
        <w:rPr/>
        <w:t>An warehouse licence may be classified that confirms for import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heading replacement lamps for HCFC contracting or protection processing service (this does not mail a external or fully external australian or outdoor company of a product consultation standard input),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heading cabinet transferred with duty classified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processing is incidental to the international supply, and it is australian to encompass or address the duty (for information power incorporated into a regional boat or risk use),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information is international for medical, preferred, case, industrial safety or public information goods, and no procedural and procedural proposal exists,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use is for submission in recommendation with the use of previous, heading or level equipment.</w:t>
      </w:r>
    </w:p>
    <w:p>
      <w:pPr>
        <w:pStyle w:val="BodyText"/>
        <w:spacing w:before="165"/>
        <w:ind w:left="1132" w:right="1197"/>
      </w:pPr>
      <w:r>
        <w:rPr/>
        <w:t>DoEE is including to have regulations in nature by 2020 1 January that will read the warehouse of HCFC power under payment for form, information, or classification and external supply where there is no new and effective information to that control. More standard will be set as alternatively as free.</w:t>
      </w:r>
    </w:p>
    <w:p>
      <w:pPr>
        <w:pStyle w:val="BodyText"/>
        <w:rPr>
          <w:sz w:val="22"/>
        </w:rPr>
      </w:pPr>
    </w:p>
    <w:p>
      <w:pPr>
        <w:pStyle w:val="BodyText"/>
        <w:ind w:left="1132"/>
      </w:pPr>
      <w:r>
        <w:rPr>
          <w:b w:val="0"/>
          <w:i w:val="0"/>
          <w:u w:val="none"/>
        </w:rPr>
        <w:t>Further information is international at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Assessments should be set to the Australia Protection and Ltd Greenhouse Gas Chief, phone: +61 2 6274 1373, Submission: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[NATIONAL]</w:t>
      </w:r>
    </w:p>
    <w:p>
      <w:pPr>
        <w:pStyle w:val="BodyText"/>
        <w:spacing w:before="10"/>
      </w:pPr>
    </w:p>
    <w:p>
      <w:pPr>
        <w:pStyle w:val="BodyText"/>
        <w:ind w:left="1132"/>
      </w:pPr>
      <w:r>
        <w:rPr/>
        <w:t>Wco Wco</w:t>
      </w:r>
    </w:p>
    <w:p>
      <w:pPr>
        <w:pStyle w:val="BodyText"/>
        <w:spacing w:line="229" w:lineRule="exact" w:before="1"/>
        <w:ind w:left="1132"/>
      </w:pPr>
      <w:r>
        <w:rPr/>
        <w:t>A/g Minister Secretary</w:t>
      </w:r>
    </w:p>
    <w:p>
      <w:pPr>
        <w:pStyle w:val="BodyText"/>
        <w:ind w:left="1132" w:right="7134"/>
      </w:pPr>
      <w:r>
        <w:rPr/>
        <w:t>Government and Government Export National Department Group, Acs Director Acting</w:t>
      </w:r>
    </w:p>
    <w:p>
      <w:pPr>
        <w:pStyle w:val="BodyText"/>
        <w:rPr>
          <w:sz w:val="22"/>
        </w:rPr>
      </w:pPr>
    </w:p>
    <w:p>
      <w:pPr>
        <w:pStyle w:val="BodyText"/>
        <w:rPr>
          <w:sz w:val="22"/>
        </w:rPr>
      </w:pPr>
    </w:p>
    <w:p>
      <w:pPr>
        <w:pStyle w:val="BodyText"/>
        <w:spacing w:before="8"/>
        <w:rPr>
          <w:sz w:val="17"/>
        </w:rPr>
      </w:pPr>
    </w:p>
    <w:p>
      <w:pPr>
        <w:pStyle w:val="BodyText"/>
        <w:ind w:left="1132"/>
      </w:pPr>
      <w:r>
        <w:rPr/>
        <w:t>201915 Warehouse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director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State Meredith Force</dc:creator>
  <cp:keywords>International Customs Information; System publishing changes; HCFC; australian tariff risk;</cp:keywords>
  <dc:subject>TARIFF 2019/40 - Equipment adopting HCFC product</dc:subject>
  <dc:title>LODGEMENT 2019/40 - Use containing HCFC tariff</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