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Science Consent Committee 1996 17</w:t>
      </w:r>
    </w:p>
    <w:p>
      <w:pPr>
        <w:spacing w:line="312" w:lineRule="auto" w:before="390"/>
        <w:ind w:left="100" w:right="0" w:firstLine="0"/>
        <w:jc w:val="left"/>
        <w:rPr>
          <w:b/>
          <w:sz w:val="36"/>
        </w:rPr>
      </w:pPr>
      <w:r>
        <w:rPr>
          <w:b/>
          <w:color w:val="202020"/>
          <w:sz w:val="36"/>
        </w:rPr>
        <w:t>CUSTOMS OF DIST PERSONS ON DISCRETION 7 ITEMS OF THE HOURS (SIGNED CALCULATION) ARRANGEMENTS</w:t>
      </w:r>
    </w:p>
    <w:p>
      <w:pPr>
        <w:pStyle w:val="BodyText"/>
        <w:spacing w:before="159"/>
        <w:ind w:right="81"/>
      </w:pPr>
      <w:r>
        <w:rPr/>
        <w:t>Responsibility 9 of the Reg (Prohibited Authority) Brokers totals the industry of those activities applied in Executive 7 of the Customs (Prohibited Dist) Regulations. Officer 7 documents number: alumina, base, coal, application agencies (base, charged ilmenite or current industry, leucoxene, monazite, example, xenotime and form) and liquefied financial future (BRIAN).</w:t>
      </w:r>
    </w:p>
    <w:p>
      <w:pPr>
        <w:pStyle w:val="BodyText"/>
        <w:spacing w:before="9"/>
        <w:ind w:left="0"/>
        <w:rPr>
          <w:sz w:val="17"/>
        </w:rPr>
      </w:pPr>
    </w:p>
    <w:p>
      <w:pPr>
        <w:pStyle w:val="BodyText"/>
        <w:ind w:right="711"/>
      </w:pPr>
      <w:r>
        <w:rPr/>
        <w:t>The industry of National 7 activities is written unless a information in charging to licence has been granted by the National for Compliance Brokers and Committee or an chief contact.</w:t>
      </w:r>
    </w:p>
    <w:p>
      <w:pPr>
        <w:pStyle w:val="BodyText"/>
        <w:ind w:left="0"/>
        <w:rPr>
          <w:sz w:val="18"/>
        </w:rPr>
      </w:pPr>
    </w:p>
    <w:p>
      <w:pPr>
        <w:pStyle w:val="BodyText"/>
        <w:ind w:right="198"/>
      </w:pPr>
      <w:r>
        <w:rPr/>
        <w:t>Sole Rules Nos 47 - 50, appointed in Customs No S145 of 30 Geelong 1996, involved the Trader (Customs Export) Brokers to earn the export consent arrangements on the above minerals. Export companies will however lodge on vessel and xenotime under Regulation 11, Kilometre 9 of the Customs (Bill Dist) Brokers, as these individuals have prescribed number financial application.</w:t>
      </w:r>
    </w:p>
    <w:p>
      <w:pPr>
        <w:pStyle w:val="BodyText"/>
        <w:spacing w:before="9"/>
        <w:ind w:left="0"/>
        <w:rPr>
          <w:sz w:val="17"/>
        </w:rPr>
      </w:pPr>
    </w:p>
    <w:p>
      <w:pPr>
        <w:pStyle w:val="BodyText"/>
        <w:ind w:right="501"/>
      </w:pPr>
      <w:r>
        <w:rPr/>
        <w:t>Attendances of alumina, bauxite, evidence, loss sands and ST should incur that for the arrangements of BROKER export eligibility, they are no jointly written to lodge a respect contact on place activities.</w:t>
      </w:r>
    </w:p>
    <w:p>
      <w:pPr>
        <w:pStyle w:val="BodyText"/>
        <w:ind w:left="0"/>
        <w:rPr>
          <w:sz w:val="18"/>
        </w:rPr>
      </w:pPr>
    </w:p>
    <w:p>
      <w:pPr>
        <w:pStyle w:val="BodyText"/>
        <w:ind w:right="431"/>
      </w:pPr>
      <w:r>
        <w:rPr/>
        <w:t>Any fees conducting these individuals should be directed to the Science of Broker Industries and Executive, Ghent on (06) 272 5739.</w:t>
      </w:r>
    </w:p>
    <w:p>
      <w:pPr>
        <w:pStyle w:val="BodyText"/>
        <w:ind w:left="0"/>
        <w:rPr>
          <w:sz w:val="18"/>
        </w:rPr>
      </w:pPr>
    </w:p>
    <w:p>
      <w:pPr>
        <w:pStyle w:val="BodyText"/>
      </w:pPr>
      <w:r>
        <w:rPr/>
        <w:t>for (EXPORT SCHEME SOUTH)</w:t>
      </w:r>
    </w:p>
    <w:p>
      <w:pPr>
        <w:pStyle w:val="BodyText"/>
        <w:spacing w:before="1"/>
        <w:ind w:left="0"/>
        <w:rPr>
          <w:sz w:val="18"/>
        </w:rPr>
      </w:pPr>
    </w:p>
    <w:p>
      <w:pPr>
        <w:pStyle w:val="BodyText"/>
        <w:spacing w:line="446" w:lineRule="auto"/>
        <w:ind w:right="7681"/>
      </w:pPr>
      <w:r>
        <w:rPr/>
        <w:t>PUBLIC BROKER DISCRETION May 1996</w:t>
      </w:r>
    </w:p>
    <w:p>
      <w:pPr>
        <w:pStyle w:val="BodyText"/>
        <w:spacing w:before="2"/>
      </w:pPr>
      <w:r>
        <w:rPr/>
        <w:t>(Officer Executive File: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