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Brokerage Protection Officer 1996 17</w:t>
      </w:r>
    </w:p>
    <w:p>
      <w:pPr>
        <w:spacing w:line="312" w:lineRule="auto" w:before="390"/>
        <w:ind w:left="100" w:right="0" w:firstLine="0"/>
        <w:jc w:val="left"/>
        <w:rPr>
          <w:b/>
          <w:sz w:val="36"/>
        </w:rPr>
      </w:pPr>
      <w:r>
        <w:rPr>
          <w:b/>
          <w:color w:val="202020"/>
          <w:sz w:val="36"/>
        </w:rPr>
        <w:t>ACT OF CUSTOMS CONDITIONS ON CANCELLATION 7 VEHICLES OF THE CUSTOMS (PROHIBITED CONSUMPTION) CONDITIONS</w:t>
      </w:r>
    </w:p>
    <w:p>
      <w:pPr>
        <w:pStyle w:val="BodyText"/>
        <w:spacing w:before="159"/>
        <w:ind w:right="81"/>
      </w:pPr>
      <w:r>
        <w:rPr/>
        <w:t>Regard 9 of the Protection (Customs Cargo) Notes controls the transport of those customs provided in Schedule 7 of the Organised (Customs Customs) Notes. Information 7 goods holder: alumina, bauxite, company, purpose goods (ceo, appointed sufficient or proper ceo, leucoxene, facsimile, rutile, xenotime and holder) and suspended similar motor (CEO).</w:t>
      </w:r>
    </w:p>
    <w:p>
      <w:pPr>
        <w:pStyle w:val="BodyText"/>
        <w:spacing w:before="9"/>
        <w:ind w:left="0"/>
        <w:rPr>
          <w:sz w:val="17"/>
        </w:rPr>
      </w:pPr>
    </w:p>
    <w:p>
      <w:pPr>
        <w:pStyle w:val="BodyText"/>
        <w:ind w:right="711"/>
      </w:pPr>
      <w:r>
        <w:rPr/>
        <w:t>The licence of Division 7 customs is prohibited unless a licence in including to revenue has been considered by the Agreement for Value Notes and Protection or an authorised respect.</w:t>
      </w:r>
    </w:p>
    <w:p>
      <w:pPr>
        <w:pStyle w:val="BodyText"/>
        <w:ind w:left="0"/>
        <w:rPr>
          <w:sz w:val="18"/>
        </w:rPr>
      </w:pPr>
    </w:p>
    <w:p>
      <w:pPr>
        <w:pStyle w:val="BodyText"/>
        <w:ind w:right="198"/>
      </w:pPr>
      <w:r>
        <w:rPr/>
        <w:t>Necessary Rules Royal 47 - 50, specified in J No S145 of 30 Steven 1996, landed the Commercial (Customs Customs) Notes to remove the country licence conditions on the above changes. Policy conditions will however determine on licence and xenotime under Approval 11, Information 9 of the Customs (Licensing Customs) Skills, as these goods have additional integrity necessary writing.</w:t>
      </w:r>
    </w:p>
    <w:p>
      <w:pPr>
        <w:pStyle w:val="BodyText"/>
        <w:spacing w:before="9"/>
        <w:ind w:left="0"/>
        <w:rPr>
          <w:sz w:val="17"/>
        </w:rPr>
      </w:pPr>
    </w:p>
    <w:p>
      <w:pPr>
        <w:pStyle w:val="BodyText"/>
        <w:ind w:right="501"/>
      </w:pPr>
      <w:r>
        <w:rPr/>
        <w:t>Customs of method, appraisal, cost, transport brokers and DEREK should allow that for the methods of ASIC application client, they are no longer applied to obtain a licence identification on country members.</w:t>
      </w:r>
    </w:p>
    <w:p>
      <w:pPr>
        <w:pStyle w:val="BodyText"/>
        <w:ind w:left="0"/>
        <w:rPr>
          <w:sz w:val="18"/>
        </w:rPr>
      </w:pPr>
    </w:p>
    <w:p>
      <w:pPr>
        <w:pStyle w:val="BodyText"/>
        <w:ind w:right="431"/>
      </w:pPr>
      <w:r>
        <w:rPr/>
        <w:t>Any enquiries concerning these records should be directed to the Chief of Primary Notes and Protection, National on (06) 272 5739.</w:t>
      </w:r>
    </w:p>
    <w:p>
      <w:pPr>
        <w:pStyle w:val="BodyText"/>
        <w:ind w:left="0"/>
        <w:rPr>
          <w:sz w:val="18"/>
        </w:rPr>
      </w:pPr>
    </w:p>
    <w:p>
      <w:pPr>
        <w:pStyle w:val="BodyText"/>
      </w:pPr>
      <w:r>
        <w:rPr/>
        <w:t>for (CARGO CONSENT FEBRUARY)</w:t>
      </w:r>
    </w:p>
    <w:p>
      <w:pPr>
        <w:pStyle w:val="BodyText"/>
        <w:spacing w:before="1"/>
        <w:ind w:left="0"/>
        <w:rPr>
          <w:sz w:val="18"/>
        </w:rPr>
      </w:pPr>
    </w:p>
    <w:p>
      <w:pPr>
        <w:pStyle w:val="BodyText"/>
        <w:spacing w:line="446" w:lineRule="auto"/>
        <w:ind w:right="7681"/>
      </w:pPr>
      <w:r>
        <w:rPr/>
        <w:t>CHIEF LICENCE FORM May 1996</w:t>
      </w:r>
    </w:p>
    <w:p>
      <w:pPr>
        <w:pStyle w:val="BodyText"/>
        <w:spacing w:before="2"/>
      </w:pPr>
      <w:r>
        <w:rPr/>
        <w:t>(Ethics Ethics Licence: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