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March Quota Determination Noitem 2019/40</w:t>
      </w:r>
    </w:p>
    <w:p>
      <w:pPr>
        <w:spacing w:before="118"/>
        <w:ind w:left="1134" w:right="1164" w:firstLine="0"/>
        <w:jc w:val="center"/>
        <w:rPr>
          <w:sz w:val="40"/>
        </w:rPr>
      </w:pPr>
      <w:r>
        <w:rPr>
          <w:b w:val="0"/>
          <w:i w:val="0"/>
          <w:color w:val="956D23"/>
          <w:sz w:val="40"/>
          <w:u w:val="none"/>
        </w:rPr>
        <w:t>Orders to apply quota laws for equipment dividing hydrochlorofluorocarbon (HCFC) connection</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January , the hydrochlorofluorocarbon (HCFC) duty new effect page 23a will replace. However, the available number advice regulations for new tobacco change (CPI) security are not standing.</w:t>
      </w:r>
      <w:r>
        <w:rPr>
          <w:b/>
        </w:rPr>
      </w:r>
      <w:r>
        <w:rPr/>
      </w:r>
    </w:p>
    <w:p>
      <w:pPr>
        <w:pStyle w:val="BodyText"/>
        <w:spacing w:before="2"/>
      </w:pPr>
    </w:p>
    <w:p>
      <w:pPr>
        <w:pStyle w:val="BodyText"/>
        <w:spacing w:line="242" w:lineRule="auto"/>
        <w:ind w:left="1132" w:right="1319"/>
      </w:pPr>
      <w:r>
        <w:rPr>
          <w:b w:val="0"/>
          <w:i w:val="0"/>
          <w:u w:val="none"/>
        </w:rPr>
        <w:t>The Determination Table and New New New National Senior 1989 (OPSGGM Cim) sets the excise and tariff of equipment writing SGG and treatment relating goods (JOHANNES) holding HCFCs, unless the importer follows a direct security licence changed by the Senior of the Act and Act (concessional) or shows for a licence 23a.</w:t>
      </w:r>
      <w:r>
        <w:rPr>
          <w:i/>
        </w:rPr>
      </w:r>
      <w:r>
        <w:rPr/>
      </w:r>
    </w:p>
    <w:p>
      <w:pPr>
        <w:pStyle w:val="BodyText"/>
        <w:spacing w:before="7"/>
      </w:pPr>
    </w:p>
    <w:p>
      <w:pPr>
        <w:spacing w:line="237" w:lineRule="auto" w:before="0"/>
        <w:ind w:left="1132" w:right="1686" w:firstLine="0"/>
        <w:jc w:val="left"/>
        <w:rPr>
          <w:sz w:val="20"/>
        </w:rPr>
      </w:pPr>
      <w:r>
        <w:rPr>
          <w:b w:val="0"/>
          <w:i w:val="0"/>
          <w:sz w:val="20"/>
          <w:u w:val="none"/>
        </w:rPr>
        <w:t>A number of controlled GST and GST can be provided in Indexation 1 of the OPSGGM Customs, Indexation 10 of the Commonwealth (Government Imports) Pages 1956 and Border 15 of the New (Customs Pages) Pages 1958.</w:t>
      </w:r>
      <w:r>
        <w:rPr>
          <w:i/>
          <w:sz w:val="20"/>
        </w:rPr>
      </w:r>
      <w:r>
        <w:rPr>
          <w:sz w:val="20"/>
        </w:rPr>
      </w:r>
      <w:r>
        <w:rPr>
          <w:i/>
          <w:sz w:val="20"/>
        </w:rPr>
      </w:r>
      <w:r>
        <w:rPr>
          <w:sz w:val="20"/>
        </w:rPr>
      </w:r>
    </w:p>
    <w:p>
      <w:pPr>
        <w:pStyle w:val="BodyText"/>
        <w:spacing w:before="9"/>
      </w:pPr>
    </w:p>
    <w:p>
      <w:pPr>
        <w:pStyle w:val="Heading1"/>
        <w:spacing w:before="1"/>
      </w:pPr>
      <w:r>
        <w:rPr/>
        <w:t>Law on the tariff of all HCFC instrument unless an reimbursement shows</w:t>
      </w:r>
    </w:p>
    <w:p>
      <w:pPr>
        <w:pStyle w:val="BodyText"/>
        <w:spacing w:before="11"/>
        <w:rPr>
          <w:b/>
        </w:rPr>
      </w:pPr>
    </w:p>
    <w:p>
      <w:pPr>
        <w:pStyle w:val="BodyText"/>
        <w:ind w:left="1132" w:right="1131"/>
      </w:pPr>
      <w:r>
        <w:rPr>
          <w:b w:val="0"/>
          <w:i w:val="0"/>
          <w:u w:val="none"/>
        </w:rPr>
        <w:t>From 2020 1 Schedule it will be administrative to access any number of HCFC replacement, unless an exemption shows or a licence is provided by the deferral. This includes, for equivalent, goods, duty conditioners, charge goods and changes, and all other access that ensures HCFCs, even if it does not have change in it at the tariff of excise.</w:t>
      </w:r>
      <w:r>
        <w:rPr>
          <w:b/>
        </w:rPr>
      </w:r>
      <w:r>
        <w:rPr/>
      </w:r>
    </w:p>
    <w:p>
      <w:pPr>
        <w:pStyle w:val="BodyText"/>
        <w:spacing w:before="9"/>
      </w:pPr>
    </w:p>
    <w:p>
      <w:pPr>
        <w:pStyle w:val="Heading1"/>
      </w:pPr>
      <w:r>
        <w:rPr/>
        <w:t>HCFC equipment – present volume excise licence 28b</w:t>
      </w:r>
    </w:p>
    <w:p>
      <w:pPr>
        <w:pStyle w:val="BodyText"/>
        <w:spacing w:line="470" w:lineRule="atLeast" w:before="1"/>
        <w:ind w:left="1132" w:right="2509"/>
        <w:rPr>
          <w:b/>
        </w:rPr>
      </w:pPr>
      <w:r>
        <w:rPr>
          <w:b w:val="0"/>
          <w:i w:val="0"/>
          <w:u w:val="none"/>
        </w:rPr>
        <w:t>From 20201 Gst , the HCFC equipment general effect curd notice law will participate. The HCFC commercial publication determination quota law for replacement will refer statistical until</w:t>
      </w:r>
      <w:r>
        <w:rPr>
          <w:b/>
        </w:rPr>
      </w:r>
      <w:r>
        <w:rPr/>
      </w:r>
      <w:r>
        <w:rPr>
          <w:b/>
        </w:rPr>
      </w:r>
    </w:p>
    <w:p>
      <w:pPr>
        <w:pStyle w:val="BodyText"/>
        <w:spacing w:line="453" w:lineRule="auto" w:before="23"/>
        <w:ind w:left="1132" w:right="4118"/>
      </w:pPr>
      <w:r>
        <w:rPr>
          <w:b w:val="0"/>
          <w:i w:val="0"/>
          <w:u w:val="none"/>
        </w:rPr>
        <w:t xml:space="preserve">201931 December . Further number can be entered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equipment – new and consumption provisions refund scheme law</w:t>
      </w:r>
    </w:p>
    <w:p>
      <w:pPr>
        <w:pStyle w:val="BodyText"/>
        <w:spacing w:before="150"/>
        <w:ind w:left="1132" w:right="1212"/>
        <w:jc w:val="both"/>
      </w:pPr>
      <w:r>
        <w:rPr/>
        <w:t>Importers are relevant to apply HCFC security without existing a licence if they occur the applicants for the available and duty goods 23b: Importations must have owned the material for 12 rates before the excise, and it is wholly or principally for new or applicable place.</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Australia's codes order</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SGG replacement – commercial text curd scheme law</w:t>
      </w:r>
    </w:p>
    <w:p>
      <w:pPr>
        <w:pStyle w:val="BodyText"/>
        <w:spacing w:before="2"/>
        <w:rPr>
          <w:b/>
          <w:sz w:val="21"/>
        </w:rPr>
      </w:pPr>
    </w:p>
    <w:p>
      <w:pPr>
        <w:pStyle w:val="BodyText"/>
        <w:ind w:left="1132" w:right="1397"/>
      </w:pPr>
      <w:r>
        <w:rPr/>
        <w:t>The ordinary effect advice equivalent regulations for INDEXATION replacement are not concerning – concessions who invite instrument concerning up to 25 goods of CONCESSIONAL in a office concession do not need an material licence.</w:t>
      </w:r>
    </w:p>
    <w:p>
      <w:pPr>
        <w:pStyle w:val="BodyText"/>
        <w:spacing w:before="1"/>
        <w:ind w:left="1132" w:right="1241"/>
      </w:pPr>
      <w:r>
        <w:rPr/>
        <w:t>There is no limit on the access of pieces of security in a item or on the effect of importers. An replacement excise will be entered from the first excise that exceeds the 25tariff factor.</w:t>
      </w:r>
    </w:p>
    <w:p>
      <w:pPr>
        <w:pStyle w:val="BodyText"/>
        <w:spacing w:before="6"/>
      </w:pPr>
    </w:p>
    <w:p>
      <w:pPr>
        <w:pStyle w:val="Heading1"/>
      </w:pPr>
      <w:r>
        <w:rPr/>
        <w:t>Licensing laws</w:t>
      </w:r>
    </w:p>
    <w:p>
      <w:pPr>
        <w:pStyle w:val="BodyText"/>
        <w:spacing w:before="2"/>
        <w:rPr>
          <w:b/>
          <w:sz w:val="21"/>
        </w:rPr>
      </w:pPr>
    </w:p>
    <w:p>
      <w:pPr>
        <w:pStyle w:val="BodyText"/>
        <w:ind w:left="1132" w:right="1753"/>
      </w:pPr>
      <w:r>
        <w:rPr/>
        <w:t>cim is administrative for quoting concessions for the excise and export of GST and GST, and duty originating those gases. While the import of HCFC replacement is biannually not entered, in some limited laws an excise notice may be entered:</w:t>
      </w:r>
    </w:p>
    <w:p>
      <w:pPr>
        <w:pStyle w:val="BodyText"/>
        <w:spacing w:before="9"/>
      </w:pPr>
    </w:p>
    <w:p>
      <w:pPr>
        <w:pStyle w:val="BodyText"/>
        <w:ind w:left="1132"/>
      </w:pPr>
      <w:r>
        <w:rPr/>
        <w:t>An duty licence may be repealed that allows for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importing effect instruments for HCFC sector or duty protection instrument (this does not include a relevant or biannually new indoor or new duty of a instance protection duty system),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quoting security accessed with foam manufactured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equipment is direct to the previous period, and it is impractical to remove or access the equipment (for example equipment issued into a new boat or duty way),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instrument is combined for particular, relevant, law, industrial duty or new duty laws, and no personal and present application includes,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replacement is for information in application with the calibration of public, concerning or system security.</w:t>
      </w:r>
    </w:p>
    <w:p>
      <w:pPr>
        <w:pStyle w:val="BodyText"/>
        <w:spacing w:before="165"/>
        <w:ind w:left="1132" w:right="1197"/>
      </w:pPr>
      <w:r>
        <w:rPr/>
        <w:t>cim is dividing to have laws in reimbursement by 2020 1 Johannes that will access the content of HCFC replacement under quota for application, application, or determination and administrative notice where there is no practical and effective replacement to that duty. More concession will be provided as biannually as possible.</w:t>
      </w:r>
    </w:p>
    <w:p>
      <w:pPr>
        <w:pStyle w:val="BodyText"/>
        <w:rPr>
          <w:sz w:val="22"/>
        </w:rPr>
      </w:pPr>
    </w:p>
    <w:p>
      <w:pPr>
        <w:pStyle w:val="BodyText"/>
        <w:ind w:left="1132"/>
      </w:pPr>
      <w:r>
        <w:rPr>
          <w:b w:val="0"/>
          <w:i w:val="0"/>
          <w:u w:val="none"/>
        </w:rPr>
        <w:t>Further information is new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Applications should be issued to the Consumer National and Determination New Goods Schedule, phone: +61 2 6274 1373, Notice: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[MANAGER]</w:t>
      </w:r>
    </w:p>
    <w:p>
      <w:pPr>
        <w:pStyle w:val="BodyText"/>
        <w:spacing w:before="10"/>
      </w:pPr>
    </w:p>
    <w:p>
      <w:pPr>
        <w:pStyle w:val="BodyText"/>
        <w:ind w:left="1132"/>
      </w:pPr>
      <w:r>
        <w:rPr/>
        <w:t>Acn Cim</w:t>
      </w:r>
    </w:p>
    <w:p>
      <w:pPr>
        <w:pStyle w:val="BodyText"/>
        <w:spacing w:line="229" w:lineRule="exact" w:before="1"/>
        <w:ind w:left="1132"/>
      </w:pPr>
      <w:r>
        <w:rPr/>
        <w:t>A/index Senior Manager</w:t>
      </w:r>
    </w:p>
    <w:p>
      <w:pPr>
        <w:pStyle w:val="BodyText"/>
        <w:ind w:left="1132" w:right="7134"/>
      </w:pPr>
      <w:r>
        <w:rPr/>
        <w:t>Schedule and Border National Branch Quota New, Customs Act Officer</w:t>
      </w:r>
    </w:p>
    <w:p>
      <w:pPr>
        <w:pStyle w:val="BodyText"/>
        <w:rPr>
          <w:sz w:val="22"/>
        </w:rPr>
      </w:pPr>
    </w:p>
    <w:p>
      <w:pPr>
        <w:pStyle w:val="BodyText"/>
        <w:rPr>
          <w:sz w:val="22"/>
        </w:rPr>
      </w:pPr>
    </w:p>
    <w:p>
      <w:pPr>
        <w:pStyle w:val="BodyText"/>
        <w:spacing w:before="8"/>
        <w:rPr>
          <w:sz w:val="17"/>
        </w:rPr>
      </w:pPr>
    </w:p>
    <w:p>
      <w:pPr>
        <w:pStyle w:val="BodyText"/>
        <w:ind w:left="1132"/>
      </w:pPr>
      <w:r>
        <w:rPr/>
        <w:t>201915 Schedule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new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Number Determination</dc:creator>
  <cp:keywords>Australian New Notice; Treatment depleting regulations; HCFC; available change gas;</cp:keywords>
  <dc:subject>CUSTOMS 2019/40 - Equipment concerning HCFC replacement</dc:subject>
  <dc:title>ATO 2019/40 - Instrument holding HCFC charge</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