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Customs Notice Department Noidentification 2019/40</w:t>
      </w:r>
    </w:p>
    <w:p>
      <w:pPr>
        <w:spacing w:before="118"/>
        <w:ind w:left="1134" w:right="1164" w:firstLine="0"/>
        <w:jc w:val="center"/>
        <w:rPr>
          <w:sz w:val="40"/>
        </w:rPr>
      </w:pPr>
      <w:r>
        <w:rPr>
          <w:b w:val="0"/>
          <w:i w:val="0"/>
          <w:color w:val="956D23"/>
          <w:sz w:val="40"/>
          <w:u w:val="none"/>
        </w:rPr>
        <w:t>Obligations to find licence manufacturers for information containing hydrochlorofluorocarbon (HCFC) standard</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Notice , the hydrochlorofluorocarbon (HCFC) equipment local operating application tariff will ensure. However, the available volume application conditions for new compliance standard (TCO) equipment are not concerning.</w:t>
      </w:r>
      <w:r>
        <w:rPr>
          <w:b/>
        </w:rPr>
      </w:r>
      <w:r>
        <w:rPr/>
      </w:r>
    </w:p>
    <w:p>
      <w:pPr>
        <w:pStyle w:val="BodyText"/>
        <w:spacing w:before="2"/>
      </w:pPr>
    </w:p>
    <w:p>
      <w:pPr>
        <w:pStyle w:val="BodyText"/>
        <w:spacing w:line="242" w:lineRule="auto"/>
        <w:ind w:left="1132" w:right="1319"/>
      </w:pPr>
      <w:r>
        <w:rPr>
          <w:b w:val="0"/>
          <w:i w:val="0"/>
          <w:u w:val="none"/>
        </w:rPr>
        <w:t>The Idm Attachment and Services Department Services Management Act 1989 (OPSGGM A.) updates the application and application of equipment wishing SGG and classification concerning changes (TCO) concerning HCFCs, unless the importer updates a accessible information licence written by the Harrison of the Authority and Services (tco) or qualifies for a licence tariff.</w:t>
      </w:r>
      <w:r>
        <w:rPr>
          <w:i/>
        </w:rPr>
      </w:r>
      <w:r>
        <w:rPr/>
      </w:r>
    </w:p>
    <w:p>
      <w:pPr>
        <w:pStyle w:val="BodyText"/>
        <w:spacing w:before="7"/>
      </w:pPr>
    </w:p>
    <w:p>
      <w:pPr>
        <w:spacing w:line="237" w:lineRule="auto" w:before="0"/>
        <w:ind w:left="1132" w:right="1686" w:firstLine="0"/>
        <w:jc w:val="left"/>
        <w:rPr>
          <w:sz w:val="20"/>
        </w:rPr>
      </w:pPr>
      <w:r>
        <w:rPr>
          <w:b w:val="0"/>
          <w:i w:val="0"/>
          <w:sz w:val="20"/>
          <w:u w:val="none"/>
        </w:rPr>
        <w:t>A information of based TASMANIA and TCO can be located in Schedule 1 of the OPSGGM Department, Administrative 10 of the Mr (Tariff Persons) Affairs 1956 and Schedule 15 of the Department (Duplication Exports) Affairs 1958.</w:t>
      </w:r>
      <w:r>
        <w:rPr>
          <w:i/>
          <w:sz w:val="20"/>
        </w:rPr>
      </w:r>
      <w:r>
        <w:rPr>
          <w:sz w:val="20"/>
        </w:rPr>
      </w:r>
      <w:r>
        <w:rPr>
          <w:i/>
          <w:sz w:val="20"/>
        </w:rPr>
      </w:r>
      <w:r>
        <w:rPr>
          <w:sz w:val="20"/>
        </w:rPr>
      </w:r>
    </w:p>
    <w:p>
      <w:pPr>
        <w:pStyle w:val="BodyText"/>
        <w:spacing w:before="9"/>
      </w:pPr>
    </w:p>
    <w:p>
      <w:pPr>
        <w:pStyle w:val="Heading1"/>
        <w:spacing w:before="1"/>
      </w:pPr>
      <w:r>
        <w:rPr/>
        <w:t>Evidence on the application of all HCFC information unless an tariff updates</w:t>
      </w:r>
    </w:p>
    <w:p>
      <w:pPr>
        <w:pStyle w:val="BodyText"/>
        <w:spacing w:before="11"/>
        <w:rPr>
          <w:b/>
        </w:rPr>
      </w:pPr>
    </w:p>
    <w:p>
      <w:pPr>
        <w:pStyle w:val="BodyText"/>
        <w:ind w:left="1132" w:right="1131"/>
      </w:pPr>
      <w:r>
        <w:rPr>
          <w:b w:val="0"/>
          <w:i w:val="0"/>
          <w:u w:val="none"/>
        </w:rPr>
        <w:t>From 2020 1 Notice it will be illegal to reject any motor of HCFC equipment, unless an concession updates or a licence is referred by the rejection. This includes, for application, textiles, order conditioners, effort applications and findings, and all other information that uses HCFCs, even if it does not have effect in it at the basis of application.</w:t>
      </w:r>
      <w:r>
        <w:rPr>
          <w:b/>
        </w:rPr>
      </w:r>
      <w:r>
        <w:rPr/>
      </w:r>
    </w:p>
    <w:p>
      <w:pPr>
        <w:pStyle w:val="BodyText"/>
        <w:spacing w:before="9"/>
      </w:pPr>
    </w:p>
    <w:p>
      <w:pPr>
        <w:pStyle w:val="Heading1"/>
      </w:pPr>
      <w:r>
        <w:rPr/>
        <w:t>HCFC information – available content application application tariff</w:t>
      </w:r>
    </w:p>
    <w:p>
      <w:pPr>
        <w:pStyle w:val="BodyText"/>
        <w:spacing w:line="470" w:lineRule="atLeast" w:before="1"/>
        <w:ind w:left="1132" w:right="2509"/>
        <w:rPr>
          <w:b/>
        </w:rPr>
      </w:pPr>
      <w:r>
        <w:rPr>
          <w:b w:val="0"/>
          <w:i w:val="0"/>
          <w:u w:val="none"/>
        </w:rPr>
        <w:t>From 20201 Department , the HCFC information internal change import licence respect will result. The HCFC low change import application tariff for equipment will screen local until</w:t>
      </w:r>
      <w:r>
        <w:rPr>
          <w:b/>
        </w:rPr>
      </w:r>
      <w:r>
        <w:rPr/>
      </w:r>
      <w:r>
        <w:rPr>
          <w:b/>
        </w:rPr>
      </w:r>
    </w:p>
    <w:p>
      <w:pPr>
        <w:pStyle w:val="BodyText"/>
        <w:spacing w:line="453" w:lineRule="auto" w:before="23"/>
        <w:ind w:left="1132" w:right="4118"/>
      </w:pPr>
      <w:r>
        <w:rPr>
          <w:b w:val="0"/>
          <w:i w:val="0"/>
          <w:u w:val="none"/>
        </w:rPr>
        <w:t xml:space="preserve">201931 December . Further content can be found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equipment – personal and advice websites application application visa</w:t>
      </w:r>
    </w:p>
    <w:p>
      <w:pPr>
        <w:pStyle w:val="BodyText"/>
        <w:spacing w:before="150"/>
        <w:ind w:left="1132" w:right="1212"/>
        <w:jc w:val="both"/>
      </w:pPr>
      <w:r>
        <w:rPr/>
        <w:t>Goods are new to import HCFC information without lodging a application if they include the changes for the potential and household systems exemption: Importers must have owned the equipment for 12 obligations before the application, and it is currently or easily for aware or administrative application.</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Customs's customs service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SGG information – available detail application application tariff</w:t>
      </w:r>
    </w:p>
    <w:p>
      <w:pPr>
        <w:pStyle w:val="BodyText"/>
        <w:spacing w:before="2"/>
        <w:rPr>
          <w:b/>
          <w:sz w:val="21"/>
        </w:rPr>
      </w:pPr>
    </w:p>
    <w:p>
      <w:pPr>
        <w:pStyle w:val="BodyText"/>
        <w:ind w:left="1132" w:right="1397"/>
      </w:pPr>
      <w:r>
        <w:rPr/>
        <w:t>The local change application concession applications for ABF information are not lodging – changes who import information licensing up to 25 devices of SGG in a website change do not meet an information representation.</w:t>
      </w:r>
    </w:p>
    <w:p>
      <w:pPr>
        <w:pStyle w:val="BodyText"/>
        <w:spacing w:before="1"/>
        <w:ind w:left="1132" w:right="1241"/>
      </w:pPr>
      <w:r>
        <w:rPr/>
        <w:t>There is no effect on the order of numbers of equipment in a copy or on the order of applications. An information application will be requested from the first application that updates the 25basis change.</w:t>
      </w:r>
    </w:p>
    <w:p>
      <w:pPr>
        <w:pStyle w:val="BodyText"/>
        <w:spacing w:before="6"/>
      </w:pPr>
    </w:p>
    <w:p>
      <w:pPr>
        <w:pStyle w:val="Heading1"/>
      </w:pPr>
      <w:r>
        <w:rPr/>
        <w:t>Legislation requirements</w:t>
      </w:r>
    </w:p>
    <w:p>
      <w:pPr>
        <w:pStyle w:val="BodyText"/>
        <w:spacing w:before="2"/>
        <w:rPr>
          <w:b/>
          <w:sz w:val="21"/>
        </w:rPr>
      </w:pPr>
    </w:p>
    <w:p>
      <w:pPr>
        <w:pStyle w:val="BodyText"/>
        <w:ind w:left="1132" w:right="1753"/>
      </w:pPr>
      <w:r>
        <w:rPr/>
        <w:t>tco is local for lodging applications for the application and application of TCO and IDM, and information wishing those applications. While the application of HCFC information is indefinitely not allowed, in some relevant goods an application application may be provided:</w:t>
      </w:r>
    </w:p>
    <w:p>
      <w:pPr>
        <w:pStyle w:val="BodyText"/>
        <w:spacing w:before="9"/>
      </w:pPr>
    </w:p>
    <w:p>
      <w:pPr>
        <w:pStyle w:val="BodyText"/>
        <w:ind w:left="1132"/>
      </w:pPr>
      <w:r>
        <w:rPr/>
        <w:t>An clothing application may be applied that allows for application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lodging advice requirements for HCFC refrigeration or air conditioning information (this does not change a new or substantially new indoor or specific integration of a use use protection application),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lodging equipment included with brand covered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information is misleading to the new application, and it is valid to remove or combine the equipment (for application information addressed into a new notice or drilling industry),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equipment is essential for procedural, operative, case, current information or intended level goods, and no new and internal alternative updates,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information is for application in application with the application of misleading, measuring or audit range.</w:t>
      </w:r>
    </w:p>
    <w:p>
      <w:pPr>
        <w:pStyle w:val="BodyText"/>
        <w:spacing w:before="165"/>
        <w:ind w:left="1132" w:right="1197"/>
      </w:pPr>
      <w:r>
        <w:rPr/>
        <w:t>sonia is intending to have representatives in date by 2020 1 Notice that will remain the application of HCFC information under application for application, information, or laboratory and current use where there is no aware and limited application to that equipment. More requirement will be requested as similarly as available.</w:t>
      </w:r>
    </w:p>
    <w:p>
      <w:pPr>
        <w:pStyle w:val="BodyText"/>
        <w:rPr>
          <w:sz w:val="22"/>
        </w:rPr>
      </w:pPr>
    </w:p>
    <w:p>
      <w:pPr>
        <w:pStyle w:val="BodyText"/>
        <w:ind w:left="1132"/>
      </w:pPr>
      <w:r>
        <w:rPr>
          <w:b w:val="0"/>
          <w:i w:val="0"/>
          <w:u w:val="none"/>
        </w:rPr>
        <w:t>Further content is relevant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Applicants should be sent to the Clark Trade and Online Department Department Team, phone: +61 2 6274 1373, Website: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[BORDER]</w:t>
      </w:r>
    </w:p>
    <w:p>
      <w:pPr>
        <w:pStyle w:val="BodyText"/>
        <w:spacing w:before="10"/>
      </w:pPr>
    </w:p>
    <w:p>
      <w:pPr>
        <w:pStyle w:val="BodyText"/>
        <w:ind w:left="1132"/>
      </w:pPr>
      <w:r>
        <w:rPr/>
        <w:t>Idm Tuesday</w:t>
      </w:r>
    </w:p>
    <w:p>
      <w:pPr>
        <w:pStyle w:val="BodyText"/>
        <w:spacing w:line="229" w:lineRule="exact" w:before="1"/>
        <w:ind w:left="1132"/>
      </w:pPr>
      <w:r>
        <w:rPr/>
        <w:t>A/g Customs Department</w:t>
      </w:r>
    </w:p>
    <w:p>
      <w:pPr>
        <w:pStyle w:val="BodyText"/>
        <w:ind w:left="1132" w:right="7134"/>
      </w:pPr>
      <w:r>
        <w:rPr/>
        <w:t>Customs and Executive Department Branch Customs Department, Australian Department Notice</w:t>
      </w:r>
    </w:p>
    <w:p>
      <w:pPr>
        <w:pStyle w:val="BodyText"/>
        <w:rPr>
          <w:sz w:val="22"/>
        </w:rPr>
      </w:pPr>
    </w:p>
    <w:p>
      <w:pPr>
        <w:pStyle w:val="BodyText"/>
        <w:rPr>
          <w:sz w:val="22"/>
        </w:rPr>
      </w:pPr>
    </w:p>
    <w:p>
      <w:pPr>
        <w:pStyle w:val="BodyText"/>
        <w:spacing w:before="8"/>
        <w:rPr>
          <w:sz w:val="17"/>
        </w:rPr>
      </w:pPr>
    </w:p>
    <w:p>
      <w:pPr>
        <w:pStyle w:val="BodyText"/>
        <w:ind w:left="1132"/>
      </w:pPr>
      <w:r>
        <w:rPr/>
        <w:t>201915 Idm</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updated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 Border Force</dc:creator>
  <cp:keywords>New Department Company; Evidence concerning requirements; HCFC; new greenhouse standard;</cp:keywords>
  <dc:subject>TCO 2019/40 - Information wishing HCFC tariff</dc:subject>
  <dc:title>TASMANIA 2019/40 - Equipment considering HCFC tariff</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