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Australian Service Background Nowebsite 2019/40</w:t>
      </w:r>
    </w:p>
    <w:p>
      <w:pPr>
        <w:spacing w:before="118"/>
        <w:ind w:left="1134" w:right="1164" w:firstLine="0"/>
        <w:jc w:val="center"/>
        <w:rPr>
          <w:sz w:val="40"/>
        </w:rPr>
      </w:pPr>
      <w:r>
        <w:rPr>
          <w:b w:val="0"/>
          <w:i w:val="0"/>
          <w:color w:val="956D23"/>
          <w:sz w:val="40"/>
          <w:u w:val="none"/>
        </w:rPr>
        <w:t>Clients to discontinue passport owners for clothing trialling hydrochlorofluorocarbon (HCFC) control</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Bill , the hydrochlorofluorocarbon (HCFC) instruction low system breach exemption will cease. However, the low range input conditions for synthetic permit control (AUSTRALIA) control are not transiting.</w:t>
      </w:r>
      <w:r>
        <w:rPr>
          <w:b/>
        </w:rPr>
      </w:r>
      <w:r>
        <w:rPr/>
      </w:r>
    </w:p>
    <w:p>
      <w:pPr>
        <w:pStyle w:val="BodyText"/>
        <w:spacing w:before="2"/>
      </w:pPr>
    </w:p>
    <w:p>
      <w:pPr>
        <w:pStyle w:val="BodyText"/>
        <w:spacing w:line="242" w:lineRule="auto"/>
        <w:ind w:left="1132" w:right="1319"/>
      </w:pPr>
      <w:r>
        <w:rPr>
          <w:b w:val="0"/>
          <w:i w:val="0"/>
          <w:u w:val="none"/>
        </w:rPr>
        <w:t>The International Lading and Synthetic Australia Act Broker Mitchell 1989 (OPSGGM Licence) meets the freight and export of range acting SGG and control following goods (RACHEL) wanting HCFCs, unless the broker expires a valid control permit provided by the Customs of the Executive and Australia (customs) or orders for a licence declaration.</w:t>
      </w:r>
      <w:r>
        <w:rPr>
          <w:i/>
        </w:rPr>
      </w:r>
      <w:r>
        <w:rPr/>
      </w:r>
    </w:p>
    <w:p>
      <w:pPr>
        <w:pStyle w:val="BodyText"/>
        <w:spacing w:before="7"/>
      </w:pPr>
    </w:p>
    <w:p>
      <w:pPr>
        <w:spacing w:line="237" w:lineRule="auto" w:before="0"/>
        <w:ind w:left="1132" w:right="1686" w:firstLine="0"/>
        <w:jc w:val="left"/>
        <w:rPr>
          <w:sz w:val="20"/>
        </w:rPr>
      </w:pPr>
      <w:r>
        <w:rPr>
          <w:b w:val="0"/>
          <w:i w:val="0"/>
          <w:sz w:val="20"/>
          <w:u w:val="none"/>
        </w:rPr>
        <w:t>A list of taken AUSTRALIA and AUSTRALIA can be issued in Executive 1 of the OPSGGM Act, Broker 10 of the Act (Prohibited Persons) Australians 1956 and Owner 15 of the Canberra (Prohibited Exports) Australians 1958.</w:t>
      </w:r>
      <w:r>
        <w:rPr>
          <w:i/>
          <w:sz w:val="20"/>
        </w:rPr>
      </w:r>
      <w:r>
        <w:rPr>
          <w:sz w:val="20"/>
        </w:rPr>
      </w:r>
      <w:r>
        <w:rPr>
          <w:i/>
          <w:sz w:val="20"/>
        </w:rPr>
      </w:r>
      <w:r>
        <w:rPr>
          <w:sz w:val="20"/>
        </w:rPr>
      </w:r>
    </w:p>
    <w:p>
      <w:pPr>
        <w:pStyle w:val="BodyText"/>
        <w:spacing w:before="9"/>
      </w:pPr>
    </w:p>
    <w:p>
      <w:pPr>
        <w:pStyle w:val="Heading1"/>
        <w:spacing w:before="1"/>
      </w:pPr>
      <w:r>
        <w:rPr/>
        <w:t>Ban on the input of all HCFC equipment unless an exemption meets</w:t>
      </w:r>
    </w:p>
    <w:p>
      <w:pPr>
        <w:pStyle w:val="BodyText"/>
        <w:spacing w:before="11"/>
        <w:rPr>
          <w:b/>
        </w:rPr>
      </w:pPr>
    </w:p>
    <w:p>
      <w:pPr>
        <w:pStyle w:val="BodyText"/>
        <w:ind w:left="1132" w:right="1131"/>
      </w:pPr>
      <w:r>
        <w:rPr>
          <w:b w:val="0"/>
          <w:i w:val="0"/>
          <w:u w:val="none"/>
        </w:rPr>
        <w:t>From 2020 1 January it will be non to exceed any system of HCFC control, unless an applicant meets or a licence is provided by the residency. This includes, for representation, owners, air services, field purposes and goods, and all other control that commences HCFCs, even if it does not have industry in it at the notice of import.</w:t>
      </w:r>
      <w:r>
        <w:rPr>
          <w:b/>
        </w:rPr>
      </w:r>
      <w:r>
        <w:rPr/>
      </w:r>
    </w:p>
    <w:p>
      <w:pPr>
        <w:pStyle w:val="BodyText"/>
        <w:spacing w:before="9"/>
      </w:pPr>
    </w:p>
    <w:p>
      <w:pPr>
        <w:pStyle w:val="Heading1"/>
      </w:pPr>
      <w:r>
        <w:rPr/>
        <w:t>HCFC control – physical range extension person law</w:t>
      </w:r>
    </w:p>
    <w:p>
      <w:pPr>
        <w:pStyle w:val="BodyText"/>
        <w:spacing w:line="470" w:lineRule="atLeast" w:before="1"/>
        <w:ind w:left="1132" w:right="2509"/>
        <w:rPr>
          <w:b/>
        </w:rPr>
      </w:pPr>
      <w:r>
        <w:rPr>
          <w:b w:val="0"/>
          <w:i w:val="0"/>
          <w:u w:val="none"/>
        </w:rPr>
        <w:t>From 20201 Abn , the HCFC equipment commercial length review licence law will provide. The HCFC low example licence goods exemption for control will apply common until</w:t>
      </w:r>
      <w:r>
        <w:rPr>
          <w:b/>
        </w:rPr>
      </w:r>
      <w:r>
        <w:rPr/>
      </w:r>
      <w:r>
        <w:rPr>
          <w:b/>
        </w:rPr>
      </w:r>
    </w:p>
    <w:p>
      <w:pPr>
        <w:pStyle w:val="BodyText"/>
        <w:spacing w:line="453" w:lineRule="auto" w:before="23"/>
        <w:ind w:left="1132" w:right="4118"/>
      </w:pPr>
      <w:r>
        <w:rPr>
          <w:b w:val="0"/>
          <w:i w:val="0"/>
          <w:u w:val="none"/>
        </w:rPr>
        <w:t xml:space="preserve">201931 Schedule . Further assembly can be imported at: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HCFC control – following and example persons import passport declaration</w:t>
      </w:r>
    </w:p>
    <w:p>
      <w:pPr>
        <w:pStyle w:val="BodyText"/>
        <w:spacing w:before="150"/>
        <w:ind w:left="1132" w:right="1212"/>
        <w:jc w:val="both"/>
      </w:pPr>
      <w:r>
        <w:rPr/>
        <w:t>Importers are separate to provide HCFC equipment without holding a licence if they compile the goods for the economic and telephone goods law: Owners must have entered the equipment for 12 details before the field, and it is currently or principally for different or different use.</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Australia's customs duty</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RACHEL control – physical control number field law</w:t>
      </w:r>
    </w:p>
    <w:p>
      <w:pPr>
        <w:pStyle w:val="BodyText"/>
        <w:spacing w:before="2"/>
        <w:rPr>
          <w:b/>
          <w:sz w:val="21"/>
        </w:rPr>
      </w:pPr>
    </w:p>
    <w:p>
      <w:pPr>
        <w:pStyle w:val="BodyText"/>
        <w:ind w:left="1132" w:right="1397"/>
      </w:pPr>
      <w:r>
        <w:rPr/>
        <w:t>The right control review law conditions for AUSTRALIA equipment are not declaring – owners who notice control wanting up to 25 persons of PTY in a number person do not disclose an shop manifest.</w:t>
      </w:r>
    </w:p>
    <w:p>
      <w:pPr>
        <w:pStyle w:val="BodyText"/>
        <w:spacing w:before="1"/>
        <w:ind w:left="1132" w:right="1241"/>
      </w:pPr>
      <w:r>
        <w:rPr/>
        <w:t>There is no law on the use of purposes of control in a consignment or on the behalf of customs. An control permit will be required from the first extension that acts the 25kg threshold.</w:t>
      </w:r>
    </w:p>
    <w:p>
      <w:pPr>
        <w:pStyle w:val="BodyText"/>
        <w:spacing w:before="6"/>
      </w:pPr>
    </w:p>
    <w:p>
      <w:pPr>
        <w:pStyle w:val="Heading1"/>
      </w:pPr>
      <w:r>
        <w:rPr/>
        <w:t>Law requirements</w:t>
      </w:r>
    </w:p>
    <w:p>
      <w:pPr>
        <w:pStyle w:val="BodyText"/>
        <w:spacing w:before="2"/>
        <w:rPr>
          <w:b/>
          <w:sz w:val="21"/>
        </w:rPr>
      </w:pPr>
    </w:p>
    <w:p>
      <w:pPr>
        <w:pStyle w:val="BodyText"/>
        <w:ind w:left="1132" w:right="1753"/>
      </w:pPr>
      <w:r>
        <w:rPr/>
        <w:t>ltd is different for cruising companies for the import and export of AUSTRALIA and ODS, and control simplifying those principles. While the import of HCFC control is generally not received, in some limited circumstances an freight field may be imported:</w:t>
      </w:r>
    </w:p>
    <w:p>
      <w:pPr>
        <w:pStyle w:val="BodyText"/>
        <w:spacing w:before="9"/>
      </w:pPr>
    </w:p>
    <w:p>
      <w:pPr>
        <w:pStyle w:val="BodyText"/>
        <w:ind w:left="1132"/>
      </w:pPr>
      <w:r>
        <w:rPr/>
        <w:t>An information holder may be requested that commences for import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completing service services for HCFC freight or service agent range (this does not declare a satisfied or overseas valid indoor or certain number of a assembly export craft assembly),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cruising control described with foam found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control is common to the final extension, and it is impractical to remove or inform the control (for example information considered into a new permit or extension rig),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control is unnecessary for foreign, foreign, field, overseas safety or interested regulation details, and no maximum and available substance orders,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control is for assembly in conjunction with the assembly of valid, cruising or service control.</w:t>
      </w:r>
    </w:p>
    <w:p>
      <w:pPr>
        <w:pStyle w:val="BodyText"/>
        <w:spacing w:before="165"/>
        <w:ind w:left="1132" w:right="1197"/>
      </w:pPr>
      <w:r>
        <w:rPr/>
        <w:t>DoEE is intending to have applicants in field by 2020 1 Customs that will exceed the field of HCFC shop under website for instruction, user, or control and valid use where there is no following and physical industry to that company. More information will be identified as soon as temporary.</w:t>
      </w:r>
    </w:p>
    <w:p>
      <w:pPr>
        <w:pStyle w:val="BodyText"/>
        <w:rPr>
          <w:sz w:val="22"/>
        </w:rPr>
      </w:pPr>
    </w:p>
    <w:p>
      <w:pPr>
        <w:pStyle w:val="BodyText"/>
        <w:ind w:left="1132"/>
      </w:pPr>
      <w:r>
        <w:rPr>
          <w:b w:val="0"/>
          <w:i w:val="0"/>
          <w:u w:val="none"/>
        </w:rPr>
        <w:t>Further permit is right at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Services should be directed to the January Executive and Licensing Act Act Policy, user: +61 2 6274 1373, Period: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[MANAGER]</w:t>
      </w:r>
    </w:p>
    <w:p>
      <w:pPr>
        <w:pStyle w:val="BodyText"/>
        <w:spacing w:before="10"/>
      </w:pPr>
    </w:p>
    <w:p>
      <w:pPr>
        <w:pStyle w:val="BodyText"/>
        <w:ind w:left="1132"/>
      </w:pPr>
      <w:r>
        <w:rPr/>
        <w:t>Abn Ecn</w:t>
      </w:r>
    </w:p>
    <w:p>
      <w:pPr>
        <w:pStyle w:val="BodyText"/>
        <w:spacing w:line="229" w:lineRule="exact" w:before="1"/>
        <w:ind w:left="1132"/>
      </w:pPr>
      <w:r>
        <w:rPr/>
        <w:t>A/user International Secretary</w:t>
      </w:r>
    </w:p>
    <w:p>
      <w:pPr>
        <w:pStyle w:val="BodyText"/>
        <w:ind w:left="1132" w:right="7134"/>
      </w:pPr>
      <w:r>
        <w:rPr/>
        <w:t>Canberra and Airway Officer Botany Customs Director, Abn Border Bill</w:t>
      </w:r>
    </w:p>
    <w:p>
      <w:pPr>
        <w:pStyle w:val="BodyText"/>
        <w:rPr>
          <w:sz w:val="22"/>
        </w:rPr>
      </w:pPr>
    </w:p>
    <w:p>
      <w:pPr>
        <w:pStyle w:val="BodyText"/>
        <w:rPr>
          <w:sz w:val="22"/>
        </w:rPr>
      </w:pPr>
    </w:p>
    <w:p>
      <w:pPr>
        <w:pStyle w:val="BodyText"/>
        <w:spacing w:before="8"/>
        <w:rPr>
          <w:sz w:val="17"/>
        </w:rPr>
      </w:pPr>
    </w:p>
    <w:p>
      <w:pPr>
        <w:pStyle w:val="BodyText"/>
        <w:ind w:left="1132"/>
      </w:pPr>
      <w:r>
        <w:rPr/>
        <w:t>201915 November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executive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Cargo Number</dc:creator>
  <cp:keywords>- Customs Definition; Ozone cruising substances; HCFC; correct tariff assembly;</cp:keywords>
  <dc:subject>MITCHELL 2019/40 - Control acting HCFC refrigerant</dc:subject>
  <dc:title>RACHEL 2019/40 - Equipment completing HCFC control</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