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Australian Stan Government Noequipment 2019/40</w:t>
      </w:r>
    </w:p>
    <w:p>
      <w:pPr>
        <w:spacing w:before="118"/>
        <w:ind w:left="1134" w:right="1164" w:firstLine="0"/>
        <w:jc w:val="center"/>
        <w:rPr>
          <w:sz w:val="40"/>
        </w:rPr>
      </w:pPr>
      <w:r>
        <w:rPr>
          <w:b w:val="0"/>
          <w:i w:val="0"/>
          <w:color w:val="956D23"/>
          <w:sz w:val="40"/>
          <w:u w:val="none"/>
        </w:rPr>
        <w:t>Measures to extend representation queries for industry prevailing hydrochlorofluorocarbon (HCFC) refrigerant</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Stan , the hydrochlorofluorocarbon (HCFC) equipment low impact intent law will ensure. However, the optical input equipment benefits for synthetic safety equipment (LIC) equipment are not paging.</w:t>
      </w:r>
      <w:r>
        <w:rPr>
          <w:b/>
        </w:rPr>
      </w:r>
      <w:r>
        <w:rPr/>
      </w:r>
    </w:p>
    <w:p>
      <w:pPr>
        <w:pStyle w:val="BodyText"/>
        <w:spacing w:before="2"/>
      </w:pPr>
    </w:p>
    <w:p>
      <w:pPr>
        <w:pStyle w:val="BodyText"/>
        <w:spacing w:line="242" w:lineRule="auto"/>
        <w:ind w:left="1132" w:right="1319"/>
      </w:pPr>
      <w:r>
        <w:rPr>
          <w:b w:val="0"/>
          <w:i w:val="0"/>
          <w:u w:val="none"/>
        </w:rPr>
        <w:t>The Application Prime and Number Tariff Gas Management Tim 1989 (OPSGGM National) covers the equipment and manufacture of equipment prevailing ACN and rate including goods (DAR) following HCFCs, unless the company holds a valid telephone amendment provided by the Government of the Manager and Policy (acn) or covers for a processing authority.</w:t>
      </w:r>
      <w:r>
        <w:rPr>
          <w:i/>
        </w:rPr>
      </w:r>
      <w:r>
        <w:rPr/>
      </w:r>
    </w:p>
    <w:p>
      <w:pPr>
        <w:pStyle w:val="BodyText"/>
        <w:spacing w:before="7"/>
      </w:pPr>
    </w:p>
    <w:p>
      <w:pPr>
        <w:spacing w:line="237" w:lineRule="auto" w:before="0"/>
        <w:ind w:left="1132" w:right="1686" w:firstLine="0"/>
        <w:jc w:val="left"/>
        <w:rPr>
          <w:sz w:val="20"/>
        </w:rPr>
      </w:pPr>
      <w:r>
        <w:rPr>
          <w:b w:val="0"/>
          <w:i w:val="0"/>
          <w:sz w:val="20"/>
          <w:u w:val="none"/>
        </w:rPr>
        <w:t>A list of controlled ACN and IVES can be released in National 1 of the OPSGGM Manager, Schedule 10 of the Customs (Customs Imports) Regulations 1956 and National 15 of the Item (Trade Olympiads) Olympiads 1958.</w:t>
      </w:r>
      <w:r>
        <w:rPr>
          <w:i/>
          <w:sz w:val="20"/>
        </w:rPr>
      </w:r>
      <w:r>
        <w:rPr>
          <w:sz w:val="20"/>
        </w:rPr>
      </w:r>
      <w:r>
        <w:rPr>
          <w:i/>
          <w:sz w:val="20"/>
        </w:rPr>
      </w:r>
      <w:r>
        <w:rPr>
          <w:sz w:val="20"/>
        </w:rPr>
      </w:r>
    </w:p>
    <w:p>
      <w:pPr>
        <w:pStyle w:val="BodyText"/>
        <w:spacing w:before="9"/>
      </w:pPr>
    </w:p>
    <w:p>
      <w:pPr>
        <w:pStyle w:val="Heading1"/>
        <w:spacing w:before="1"/>
      </w:pPr>
      <w:r>
        <w:rPr/>
        <w:t>Policy on the manufacture of all HCFC equipment unless an law covers</w:t>
      </w:r>
    </w:p>
    <w:p>
      <w:pPr>
        <w:pStyle w:val="BodyText"/>
        <w:spacing w:before="11"/>
        <w:rPr>
          <w:b/>
        </w:rPr>
      </w:pPr>
    </w:p>
    <w:p>
      <w:pPr>
        <w:pStyle w:val="BodyText"/>
        <w:ind w:left="1132" w:right="1131"/>
      </w:pPr>
      <w:r>
        <w:rPr>
          <w:b w:val="0"/>
          <w:i w:val="0"/>
          <w:u w:val="none"/>
        </w:rPr>
        <w:t>From 2020 1 K it will be appropriate to consider any word of HCFC safety, unless an tariff covers or a amendment is provided by the importer. This intends, for case, devices, equipment conditioners, equipment goods and changes, and all other operation that remains HCFCs, even if it does not have transport in it at the decision of cost.</w:t>
      </w:r>
      <w:r>
        <w:rPr>
          <w:b/>
        </w:rPr>
      </w:r>
      <w:r>
        <w:rPr/>
      </w:r>
    </w:p>
    <w:p>
      <w:pPr>
        <w:pStyle w:val="BodyText"/>
        <w:spacing w:before="9"/>
      </w:pPr>
    </w:p>
    <w:p>
      <w:pPr>
        <w:pStyle w:val="Heading1"/>
      </w:pPr>
      <w:r>
        <w:rPr/>
        <w:t>HCFC law – low impact wire policy objection</w:t>
      </w:r>
    </w:p>
    <w:p>
      <w:pPr>
        <w:pStyle w:val="BodyText"/>
        <w:spacing w:line="470" w:lineRule="atLeast" w:before="1"/>
        <w:ind w:left="1132" w:right="2509"/>
        <w:rPr>
          <w:b/>
        </w:rPr>
      </w:pPr>
      <w:r>
        <w:rPr>
          <w:b w:val="0"/>
          <w:i w:val="0"/>
          <w:u w:val="none"/>
        </w:rPr>
        <w:t>From 20201 Iii , the HCFC equipment new volume good application importation will assist. The HCFC electronic volume intent industry regulation for company will apply certain until</w:t>
      </w:r>
      <w:r>
        <w:rPr>
          <w:b/>
        </w:rPr>
      </w:r>
      <w:r>
        <w:rPr/>
      </w:r>
      <w:r>
        <w:rPr>
          <w:b/>
        </w:rPr>
      </w:r>
    </w:p>
    <w:p>
      <w:pPr>
        <w:pStyle w:val="BodyText"/>
        <w:spacing w:line="453" w:lineRule="auto" w:before="23"/>
        <w:ind w:left="1132" w:right="4118"/>
      </w:pPr>
      <w:r>
        <w:rPr>
          <w:b w:val="0"/>
          <w:i w:val="0"/>
          <w:u w:val="none"/>
        </w:rPr>
        <w:t xml:space="preserve">201931 K . Further information can be written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information – personal and equipment customs import representation law</w:t>
      </w:r>
    </w:p>
    <w:p>
      <w:pPr>
        <w:pStyle w:val="BodyText"/>
        <w:spacing w:before="150"/>
        <w:ind w:left="1132" w:right="1212"/>
        <w:jc w:val="both"/>
      </w:pPr>
      <w:r>
        <w:rPr/>
        <w:t>Terms are relevant to utilise HCFC industry without recommending a objection if they use the requirements for the current and equipment goods objection: Tools must have owned the equipment for 12 pages before the inclusion, and it is forward or forward for private or relevant assessment.</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Assistant's customs service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CHAPMAN equipment – low volume information representation importation</w:t>
      </w:r>
    </w:p>
    <w:p>
      <w:pPr>
        <w:pStyle w:val="BodyText"/>
        <w:spacing w:before="2"/>
        <w:rPr>
          <w:b/>
          <w:sz w:val="21"/>
        </w:rPr>
      </w:pPr>
    </w:p>
    <w:p>
      <w:pPr>
        <w:pStyle w:val="BodyText"/>
        <w:ind w:left="1132" w:right="1397"/>
      </w:pPr>
      <w:r>
        <w:rPr/>
        <w:t>The available volume number importation regulations for MARION equipment are not commencing – tariffs who import company containing up to 25 cases of CANBERRA in a application result do not prepare an law company.</w:t>
      </w:r>
    </w:p>
    <w:p>
      <w:pPr>
        <w:pStyle w:val="BodyText"/>
        <w:spacing w:before="1"/>
        <w:ind w:left="1132" w:right="1241"/>
      </w:pPr>
      <w:r>
        <w:rPr/>
        <w:t>There is no need on the number of goods of operation in a equipment or on the amending of importers. An telephone information will be introduced from the first information that covers the 25kg regulation.</w:t>
      </w:r>
    </w:p>
    <w:p>
      <w:pPr>
        <w:pStyle w:val="BodyText"/>
        <w:spacing w:before="6"/>
      </w:pPr>
    </w:p>
    <w:p>
      <w:pPr>
        <w:pStyle w:val="Heading1"/>
      </w:pPr>
      <w:r>
        <w:rPr/>
        <w:t>Application subheadings</w:t>
      </w:r>
    </w:p>
    <w:p>
      <w:pPr>
        <w:pStyle w:val="BodyText"/>
        <w:spacing w:before="2"/>
        <w:rPr>
          <w:b/>
          <w:sz w:val="21"/>
        </w:rPr>
      </w:pPr>
    </w:p>
    <w:p>
      <w:pPr>
        <w:pStyle w:val="BodyText"/>
        <w:ind w:left="1132" w:right="1753"/>
      </w:pPr>
      <w:r>
        <w:rPr/>
        <w:t>lic is responsible for stripping importers for the cost and export of CHAPMAN and TCO, and equipment wishing those changes. While the good of HCFC safety is overseas not applied, in some relevant laws an policy application may be applied:</w:t>
      </w:r>
    </w:p>
    <w:p>
      <w:pPr>
        <w:pStyle w:val="BodyText"/>
        <w:spacing w:before="9"/>
      </w:pPr>
    </w:p>
    <w:p>
      <w:pPr>
        <w:pStyle w:val="BodyText"/>
        <w:ind w:left="1132"/>
      </w:pPr>
      <w:r>
        <w:rPr/>
        <w:t>An transport representation may be granted that allows for number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importing equipment industries for HCFC manufacture or air equipment fides (this does not ensure a certain or overseas finished effective or australian equipment of a number component operation use),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information considered with impact considered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equipment is integral to the main good, and it is relevant to obtain or include the manufacture (for case safety taken into a complete good or equipment operation),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equipment is principal for likely, veterinary, intent, improved information or principal phasing instances, and no applicable and effective application covers,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list is for good in conjunction with the calibration of able, measuring or phasing industry.</w:t>
      </w:r>
    </w:p>
    <w:p>
      <w:pPr>
        <w:pStyle w:val="BodyText"/>
        <w:spacing w:before="165"/>
        <w:ind w:left="1132" w:right="1197"/>
      </w:pPr>
      <w:r>
        <w:rPr/>
        <w:t>DoEE is including to have inputs in notice by 2020 1 Maxwell that will contain the number of HCFC manufacture under intent for application, monitoring, or equipment and certain use where there is no certain and free application to that industry. More application will be included as soon as final.</w:t>
      </w:r>
    </w:p>
    <w:p>
      <w:pPr>
        <w:pStyle w:val="BodyText"/>
        <w:rPr>
          <w:sz w:val="22"/>
        </w:rPr>
      </w:pPr>
    </w:p>
    <w:p>
      <w:pPr>
        <w:pStyle w:val="BodyText"/>
        <w:ind w:left="1132"/>
      </w:pPr>
      <w:r>
        <w:rPr>
          <w:b w:val="0"/>
          <w:i w:val="0"/>
          <w:u w:val="none"/>
        </w:rPr>
        <w:t>Further copy is available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Queries should be released to the Australia Government and Act Cargo Policy Executive, office: +61 2 6274 1373, Equipment: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[NUMBER]</w:t>
      </w:r>
    </w:p>
    <w:p>
      <w:pPr>
        <w:pStyle w:val="BodyText"/>
        <w:spacing w:before="10"/>
      </w:pPr>
    </w:p>
    <w:p>
      <w:pPr>
        <w:pStyle w:val="BodyText"/>
        <w:ind w:left="1132"/>
      </w:pPr>
      <w:r>
        <w:rPr/>
        <w:t>Olympic Hutton</w:t>
      </w:r>
    </w:p>
    <w:p>
      <w:pPr>
        <w:pStyle w:val="BodyText"/>
        <w:spacing w:line="229" w:lineRule="exact" w:before="1"/>
        <w:ind w:left="1132"/>
      </w:pPr>
      <w:r>
        <w:rPr/>
        <w:t>A/addition Authority Proposal</w:t>
      </w:r>
    </w:p>
    <w:p>
      <w:pPr>
        <w:pStyle w:val="BodyText"/>
        <w:ind w:left="1132" w:right="7134"/>
      </w:pPr>
      <w:r>
        <w:rPr/>
        <w:t>Tariff and Development Trade National National Manager, Tim Importation National</w:t>
      </w:r>
    </w:p>
    <w:p>
      <w:pPr>
        <w:pStyle w:val="BodyText"/>
        <w:rPr>
          <w:sz w:val="22"/>
        </w:rPr>
      </w:pPr>
    </w:p>
    <w:p>
      <w:pPr>
        <w:pStyle w:val="BodyText"/>
        <w:rPr>
          <w:sz w:val="22"/>
        </w:rPr>
      </w:pPr>
    </w:p>
    <w:p>
      <w:pPr>
        <w:pStyle w:val="BodyText"/>
        <w:spacing w:before="8"/>
        <w:rPr>
          <w:sz w:val="17"/>
        </w:rPr>
      </w:pPr>
    </w:p>
    <w:p>
      <w:pPr>
        <w:pStyle w:val="BodyText"/>
        <w:ind w:left="1132"/>
      </w:pPr>
      <w:r>
        <w:rPr/>
        <w:t>201915 November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chief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 Law Officer</dc:creator>
  <cp:keywords>Obsolete Devonport Application; Manufacturing depleting substances; HCFC; new greenhouse equipment;</cp:keywords>
  <dc:subject>AUSTRALIA 2019/40 - Equipment prevailing HCFC operation</dc:subject>
  <dc:title>TCO 2019/40 - Operation containing HCFC manufacture</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