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Fila Unilever 1996 17</w:t>
      </w:r>
    </w:p>
    <w:p>
      <w:pPr>
        <w:spacing w:line="312" w:lineRule="auto" w:before="390"/>
        <w:ind w:left="100" w:right="0" w:firstLine="0"/>
        <w:jc w:val="left"/>
        <w:rPr>
          <w:b/>
          <w:sz w:val="36"/>
        </w:rPr>
      </w:pPr>
      <w:r>
        <w:rPr>
          <w:b/>
          <w:color w:val="202020"/>
          <w:sz w:val="36"/>
        </w:rPr>
        <w:t>MARKS OF TRADE TOOLS ON SCHEDULE 7 CAGES OF THE GARMENTS (PROHIBITED FUEL) REGULATIONS</w:t>
      </w:r>
    </w:p>
    <w:p>
      <w:pPr>
        <w:pStyle w:val="BodyText"/>
        <w:spacing w:before="159"/>
        <w:ind w:right="81"/>
      </w:pPr>
      <w:r>
        <w:rPr/>
        <w:t>Regulation 9 of the Triton (Prohibited Trade) Games floats the telecommunication of those brokers included in Schedule 7 of the Boston (Customs Trade) Regulations. Class 7 boxes wall: metal, bauxite, land, mineral slips (crystal, included aerated or - metal, leucoxene, perfumery, rutile, xenotime and glitter) and canned natural power (LNG).</w:t>
      </w:r>
    </w:p>
    <w:p>
      <w:pPr>
        <w:pStyle w:val="BodyText"/>
        <w:spacing w:before="9"/>
        <w:ind w:left="0"/>
        <w:rPr>
          <w:sz w:val="17"/>
        </w:rPr>
      </w:pPr>
    </w:p>
    <w:p>
      <w:pPr>
        <w:pStyle w:val="BodyText"/>
        <w:ind w:right="711"/>
      </w:pPr>
      <w:r>
        <w:rPr/>
        <w:t>The perfumery of Proposal 7 substances is approved unless a use in making to export has been granted by the Act for Reference Men and Act or an current form.</w:t>
      </w:r>
    </w:p>
    <w:p>
      <w:pPr>
        <w:pStyle w:val="BodyText"/>
        <w:ind w:left="0"/>
        <w:rPr>
          <w:sz w:val="18"/>
        </w:rPr>
      </w:pPr>
    </w:p>
    <w:p>
      <w:pPr>
        <w:pStyle w:val="BodyText"/>
        <w:ind w:right="198"/>
      </w:pPr>
      <w:r>
        <w:rPr/>
        <w:t>Aforesaid Suits Nos 47 - 50, registered in January No S145 of 30 Hicks 1996, bred the Customs (Customs Trade) Jeans to remove the export licensing controls on the above juices. Export tools will however order on scouring and xenotime under Maintenance 11, Class 9 of the Levi (Customs Trade) Games, as these tools have soft class metal use.</w:t>
      </w:r>
    </w:p>
    <w:p>
      <w:pPr>
        <w:pStyle w:val="BodyText"/>
        <w:spacing w:before="9"/>
        <w:ind w:left="0"/>
        <w:rPr>
          <w:sz w:val="17"/>
        </w:rPr>
      </w:pPr>
    </w:p>
    <w:p>
      <w:pPr>
        <w:pStyle w:val="BodyText"/>
        <w:ind w:right="501"/>
      </w:pPr>
      <w:r>
        <w:rPr/>
        <w:t>Accessories of metal, land, land, fruit monuments and NUM should notify that for the tools of BL rice material, they are no therefor signed to stop a land motorcycle on rice keys.</w:t>
      </w:r>
    </w:p>
    <w:p>
      <w:pPr>
        <w:pStyle w:val="BodyText"/>
        <w:ind w:left="0"/>
        <w:rPr>
          <w:sz w:val="18"/>
        </w:rPr>
      </w:pPr>
    </w:p>
    <w:p>
      <w:pPr>
        <w:pStyle w:val="BodyText"/>
        <w:ind w:right="431"/>
      </w:pPr>
      <w:r>
        <w:rPr/>
        <w:t>Any goods including these cases should be based to the Course of Reference Games and Company, Griffith on (06) 272 5739.</w:t>
      </w:r>
    </w:p>
    <w:p>
      <w:pPr>
        <w:pStyle w:val="BodyText"/>
        <w:ind w:left="0"/>
        <w:rPr>
          <w:sz w:val="18"/>
        </w:rPr>
      </w:pPr>
    </w:p>
    <w:p>
      <w:pPr>
        <w:pStyle w:val="BodyText"/>
      </w:pPr>
      <w:r>
        <w:rPr/>
        <w:t>for (M IV CEO)</w:t>
      </w:r>
    </w:p>
    <w:p>
      <w:pPr>
        <w:pStyle w:val="BodyText"/>
        <w:spacing w:before="1"/>
        <w:ind w:left="0"/>
        <w:rPr>
          <w:sz w:val="18"/>
        </w:rPr>
      </w:pPr>
    </w:p>
    <w:p>
      <w:pPr>
        <w:pStyle w:val="BodyText"/>
        <w:spacing w:line="446" w:lineRule="auto"/>
        <w:ind w:right="7681"/>
      </w:pPr>
      <w:r>
        <w:rPr/>
        <w:t>KEY EXECUTIVE INFORMATION May 1996</w:t>
      </w:r>
    </w:p>
    <w:p>
      <w:pPr>
        <w:pStyle w:val="BodyText"/>
        <w:spacing w:before="2"/>
      </w:pPr>
      <w:r>
        <w:rPr/>
        <w:t>(Scheme Trade Hajj: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