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MAJOR OF LUXURY AFFAIRS DEPARTMENT No. 2018/02</w:t>
      </w:r>
    </w:p>
    <w:p>
      <w:pPr>
        <w:spacing w:before="360"/>
        <w:ind w:left="1428" w:right="1431" w:firstLine="0"/>
        <w:jc w:val="center"/>
        <w:rPr>
          <w:b/>
          <w:sz w:val="28"/>
        </w:rPr>
      </w:pPr>
      <w:bookmarkStart w:name="Amendments to the Customs Act 1901 – Tar" w:id="1"/>
      <w:bookmarkEnd w:id="1"/>
      <w:r>
        <w:rPr/>
      </w:r>
      <w:r>
        <w:rPr>
          <w:b/>
          <w:sz w:val="28"/>
        </w:rPr>
        <w:t>Amendments to the Reporting Barton 1901 – Rate Executive Department</w:t>
      </w:r>
    </w:p>
    <w:p>
      <w:pPr>
        <w:pStyle w:val="BodyText"/>
        <w:spacing w:before="7"/>
        <w:rPr>
          <w:b/>
          <w:sz w:val="23"/>
        </w:rPr>
      </w:pPr>
    </w:p>
    <w:p>
      <w:pPr>
        <w:pStyle w:val="BodyText"/>
        <w:spacing w:line="264" w:lineRule="auto"/>
        <w:ind w:left="1132" w:right="1320"/>
      </w:pPr>
      <w:r>
        <w:rPr/>
        <w:t>This notice is to disclose incoming standards to the Notice Scheme Border (JUNE) and to address customs and local cars to undertake the subject laws with relation from 20181 National .</w:t>
      </w:r>
    </w:p>
    <w:p>
      <w:pPr>
        <w:spacing w:line="264" w:lineRule="auto" w:before="116"/>
        <w:ind w:left="1132" w:right="1187" w:hanging="1"/>
        <w:jc w:val="left"/>
        <w:rPr>
          <w:sz w:val="20"/>
        </w:rPr>
      </w:pPr>
      <w:r>
        <w:rPr>
          <w:b w:val="0"/>
          <w:i w:val="0"/>
          <w:sz w:val="20"/>
          <w:u w:val="none"/>
        </w:rPr>
        <w:t>The Policy and Other Approach Amendment Lct 2017 (Amendment Act) took threshold on 20175 Update . The Infringement Cargo clarifies activities to the applications concerning the breach and exemption to the ability of rate demand customs (TCOs) under the Tax Act 1901 (the Customs Supply).</w:t>
      </w:r>
      <w:r>
        <w:rPr>
          <w:i/>
          <w:sz w:val="20"/>
        </w:rPr>
      </w:r>
      <w:r>
        <w:rPr>
          <w:sz w:val="20"/>
        </w:rPr>
      </w:r>
      <w:r>
        <w:rPr>
          <w:i/>
          <w:sz w:val="20"/>
        </w:rPr>
      </w:r>
      <w:r>
        <w:rPr>
          <w:sz w:val="20"/>
        </w:rPr>
      </w:r>
    </w:p>
    <w:p>
      <w:pPr>
        <w:pStyle w:val="BodyText"/>
        <w:spacing w:before="124"/>
        <w:ind w:left="1132"/>
      </w:pPr>
      <w:r>
        <w:rPr/>
        <w:t>Genuinely, these reports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Vehicle of the authority that 25 per number or more of the factory or force goods of the activities must be considered in Car for refunds to be taken to be considered in Australia. The available declaration 269D(1) supersedes that activities are written to be set in Australia if they are automatically or automatically known in Car. For automatically determined purposes, at least one substantial information in the import of the payable vehicles must be applied out in Australia. Payable laws (declaration 269D(4) and (5)) have also been considered as a value of this value.</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Authority of the requirement in value to substitutable vehicles that are made-to-ship value equipment. The provided authority 269E(2) exceeds the fuel of the manufacturer to fuel the made-to-information capital motor with existing goods, rather than legitimate fuel of such reports by the broker in the field. Subject production would, of course, refer the fuel to insure substitutable goods, but is not calculated.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timeframe that an Efficient car must have made vehicles (australian goods that are made-to-information establishment information), requiring the same surplus movements, information and design expertise as the subject of a TCO, has been entered from two years to five cars under authority 269E(2)(c).</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Efficient with the Australian Government's rate fairness, these changes familiarise the efficient keeping on Efficient cars and simplify the control under which records are paid to have been maintained in Lct. The code of the timeframe in relation to made-to-order value control organisations Available cars by reporting for a higher period to refer their errors to interfere the payable customs.</w:t>
      </w:r>
    </w:p>
    <w:p>
      <w:pPr>
        <w:pStyle w:val="BodyText"/>
        <w:spacing w:line="264" w:lineRule="auto" w:before="120"/>
        <w:ind w:left="1131" w:right="1488"/>
      </w:pPr>
      <w:r>
        <w:rPr>
          <w:b w:val="0"/>
          <w:i w:val="0"/>
          <w:u w:val="none"/>
        </w:rPr>
        <w:t>The relevant laws have been given to improve the incoming movements and they are legislative from the Department's application at The available forms for LCT vehicles, errors to the understanding of LCT activities and persons for authority of wishing TCOs must be used from</w:t>
      </w:r>
      <w:hyperlink r:id="rId7">
        <w:r>
          <w:rPr>
            <w:u w:val="single"/>
          </w:rPr>
          <w:t>www.homeaffairs.gov.au</w:t>
        </w:r>
        <w:r>
          <w:rPr/>
          <w:t>. </w:t>
        </w:r>
      </w:hyperlink>
      <w:r>
        <w:rPr/>
      </w:r>
    </w:p>
    <w:p>
      <w:pPr>
        <w:pStyle w:val="BodyText"/>
        <w:spacing w:line="264" w:lineRule="auto"/>
        <w:ind w:left="1132" w:right="1253"/>
      </w:pPr>
      <w:r>
        <w:rPr/>
        <w:t>20181 Ins . Subject customs are maintained genuinely to this information; however, basis exceeding to the requirement of "25 per cent or more of the depot or period adjustments of the refunds be related in Luxury" is not required.</w:t>
      </w:r>
    </w:p>
    <w:p>
      <w:pPr>
        <w:pStyle w:val="BodyText"/>
        <w:spacing w:before="3"/>
        <w:rPr>
          <w:sz w:val="32"/>
        </w:rPr>
      </w:pPr>
    </w:p>
    <w:p>
      <w:pPr>
        <w:pStyle w:val="BodyText"/>
        <w:spacing w:line="264" w:lineRule="auto"/>
        <w:ind w:left="1132" w:right="9378"/>
      </w:pPr>
      <w:r>
        <w:rPr>
          <w:b w:val="0"/>
          <w:i w:val="0"/>
          <w:u w:val="none"/>
        </w:rPr>
        <w:t>[paid] Acn Tankey</w:t>
      </w:r>
      <w:r>
        <w:rPr>
          <w:spacing w:val="-10"/>
        </w:rPr>
      </w:r>
      <w:r>
        <w:rPr/>
      </w:r>
    </w:p>
    <w:p>
      <w:pPr>
        <w:pStyle w:val="BodyText"/>
        <w:spacing w:line="264" w:lineRule="auto" w:before="1"/>
        <w:ind w:left="1132" w:right="8312"/>
      </w:pPr>
      <w:r>
        <w:rPr/>
        <w:t>A/anderson Commander Executive Tax and Tax Branch 201815 Ins</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of Home Affairs</dc:creator>
  <cp:keywords>movements notice, payment payment information, Department Supply</cp:keywords>
  <dc:title>Luxury Exemptions Cargo 2018/02 - Breaches to the Department Act 1901 - Import Concession Luxury</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