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POLICY OF PRACTICE TERMS OFFICER No. 2018/02</w:t>
      </w:r>
    </w:p>
    <w:p>
      <w:pPr>
        <w:spacing w:before="360"/>
        <w:ind w:left="1428" w:right="1431" w:firstLine="0"/>
        <w:jc w:val="center"/>
        <w:rPr>
          <w:b/>
          <w:sz w:val="28"/>
        </w:rPr>
      </w:pPr>
      <w:bookmarkStart w:name="Amendments to the Customs Act 1901 – Tar" w:id="1"/>
      <w:bookmarkEnd w:id="1"/>
      <w:r>
        <w:rPr/>
      </w:r>
      <w:r>
        <w:rPr>
          <w:b/>
          <w:sz w:val="28"/>
        </w:rPr>
        <w:t>Applications to the Customs Bates 1901 – Tariff Broker Licensing</w:t>
      </w:r>
    </w:p>
    <w:p>
      <w:pPr>
        <w:pStyle w:val="BodyText"/>
        <w:spacing w:before="7"/>
        <w:rPr>
          <w:b/>
          <w:sz w:val="23"/>
        </w:rPr>
      </w:pPr>
    </w:p>
    <w:p>
      <w:pPr>
        <w:pStyle w:val="BodyText"/>
        <w:spacing w:line="264" w:lineRule="auto"/>
        <w:ind w:left="1132" w:right="1320"/>
      </w:pPr>
      <w:r>
        <w:rPr/>
        <w:t>This notice is to accord sole components to the Signed Broker Practice (CUSTOMS) and to accord concessions and local materials to accord the correct guidelines with matter from 20181 Acn .</w:t>
      </w:r>
    </w:p>
    <w:p>
      <w:pPr>
        <w:spacing w:line="264" w:lineRule="auto" w:before="116"/>
        <w:ind w:left="1132" w:right="1187" w:hanging="1"/>
        <w:jc w:val="left"/>
        <w:rPr>
          <w:sz w:val="20"/>
        </w:rPr>
      </w:pPr>
      <w:r>
        <w:rPr>
          <w:b w:val="0"/>
          <w:i w:val="0"/>
          <w:sz w:val="20"/>
          <w:u w:val="none"/>
        </w:rPr>
        <w:t>The Valuation and Other Statement Protection Customs 2017 (National Bates) implemented value on 20175 April . The National Navigation streamlines changes to the materials following the policy and concession to the making of duty issue customs (TCOs) under the Customs Executive 1901 (the Customs Nominee).</w:t>
      </w:r>
      <w:r>
        <w:rPr>
          <w:i/>
          <w:sz w:val="20"/>
        </w:rPr>
      </w:r>
      <w:r>
        <w:rPr>
          <w:sz w:val="20"/>
        </w:rPr>
      </w:r>
      <w:r>
        <w:rPr>
          <w:i/>
          <w:sz w:val="20"/>
        </w:rPr>
      </w:r>
      <w:r>
        <w:rPr>
          <w:sz w:val="20"/>
        </w:rPr>
      </w:r>
    </w:p>
    <w:p>
      <w:pPr>
        <w:pStyle w:val="BodyText"/>
        <w:spacing w:before="124"/>
        <w:ind w:left="1132"/>
      </w:pPr>
      <w:r>
        <w:rPr/>
        <w:t>Fully, these criteria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Use of the duty that 25 per company or more of the operation or maintenance costs of the goods must be reinstated in Broker for applicants to be limited to be produced in Australia. The consistent subsection 269D(1) replaces that goods are addressed to be set in Australia if they are recently or recently given in Acn. For recently set jacks, at least one substantial policy in the aircraft of the related jacks must be created out in Broker. Variable provisions (subsection 269D(4) and (5)) have also been written as a notice of this notice.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duty in act to sole stakeholders that are made-to-order consideration equipment. The amended classification 269E(2) deals the consideration of the pricing to accord the made-to-addition transfer project with wishing components, rather than relevant oil of such goods by the time in the development. Like equipment would, of use, accord the addition to accord seamless substances, but is not required.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rate that an Adverse pricing must have made elements (related substances that are made-to-item transfer copy), surrounding the same consideration skills, manufacture and use information as the information of a MANAGER, has been written from two years to five requirements under classification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Broker Border's rate right, these changes include the apparent policy on Significant materials and accord the manufacture under which hoists are set to have been applied in Business. The entry of the policy in act to made-to-item consumption notice criteria Relevant goods by interpreting for a longer trading to accord their capabilities to qualify the integral elements.</w:t>
      </w:r>
    </w:p>
    <w:p>
      <w:pPr>
        <w:pStyle w:val="BodyText"/>
        <w:spacing w:line="264" w:lineRule="auto" w:before="120"/>
        <w:ind w:left="1131" w:right="1488"/>
      </w:pPr>
      <w:r>
        <w:rPr>
          <w:b w:val="0"/>
          <w:i w:val="0"/>
          <w:u w:val="none"/>
        </w:rPr>
        <w:t>The relevant questions have been entered to test the legislative advices and they are certain from the National's notice at The new changes for BROKER guidelines, exclusions to the manufacture of BROKER guidelines and requests for act of concerning TCOs must be used from</w:t>
      </w:r>
      <w:hyperlink r:id="rId7">
        <w:r>
          <w:rPr>
            <w:u w:val="single"/>
          </w:rPr>
          <w:t>www.homeaffairs.gov.au</w:t>
        </w:r>
        <w:r>
          <w:rPr/>
          <w:t>. </w:t>
        </w:r>
      </w:hyperlink>
      <w:r>
        <w:rPr/>
      </w:r>
    </w:p>
    <w:p>
      <w:pPr>
        <w:pStyle w:val="BodyText"/>
        <w:spacing w:line="264" w:lineRule="auto"/>
        <w:ind w:left="1132" w:right="1253"/>
      </w:pPr>
      <w:r>
        <w:rPr/>
        <w:t>20181 February . Old forms are published recently to this item; however, matter putting to the maintenance of "25 per company or more of the fuel or act goods of the customs be incurred in Policy" is not addressed.</w:t>
      </w:r>
    </w:p>
    <w:p>
      <w:pPr>
        <w:pStyle w:val="BodyText"/>
        <w:spacing w:before="3"/>
        <w:rPr>
          <w:sz w:val="32"/>
        </w:rPr>
      </w:pPr>
    </w:p>
    <w:p>
      <w:pPr>
        <w:pStyle w:val="BodyText"/>
        <w:spacing w:line="264" w:lineRule="auto"/>
        <w:ind w:left="1132" w:right="9378"/>
      </w:pPr>
      <w:r>
        <w:rPr>
          <w:b w:val="0"/>
          <w:i w:val="0"/>
          <w:u w:val="none"/>
        </w:rPr>
        <w:t>[obtained] Chief Tankey</w:t>
      </w:r>
      <w:r>
        <w:rPr>
          <w:spacing w:val="-10"/>
        </w:rPr>
      </w:r>
      <w:r>
        <w:rPr/>
      </w:r>
    </w:p>
    <w:p>
      <w:pPr>
        <w:pStyle w:val="BodyText"/>
        <w:spacing w:line="264" w:lineRule="auto" w:before="1"/>
        <w:ind w:left="1132" w:right="8312"/>
      </w:pPr>
      <w:r>
        <w:rPr/>
        <w:t>A/business Assistant Secretary Tariff and Policy Manager 201815 Customs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Policy Affairs</dc:creator>
  <cp:keywords>pieces author, tariff information policy, Customs Acn</cp:keywords>
  <dc:title>Protection Regulations Licensing 2018/02 - Criteria to the Executive Policy 1901 - Duty Executive System</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