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National Marks Schedule 1996 17</w:t>
      </w:r>
    </w:p>
    <w:p>
      <w:pPr>
        <w:spacing w:line="312" w:lineRule="auto" w:before="390"/>
        <w:ind w:left="100" w:right="0" w:firstLine="0"/>
        <w:jc w:val="left"/>
        <w:rPr>
          <w:b/>
          <w:sz w:val="36"/>
        </w:rPr>
      </w:pPr>
      <w:r>
        <w:rPr>
          <w:b/>
          <w:color w:val="202020"/>
          <w:sz w:val="36"/>
        </w:rPr>
        <w:t>AUTHORITY OF EXPORT GOODS ON NOTICE 7 GOODS OF THE MARKS (INCLUDED SIGN) REGULATIONS</w:t>
      </w:r>
    </w:p>
    <w:p>
      <w:pPr>
        <w:pStyle w:val="BodyText"/>
        <w:spacing w:before="159"/>
        <w:ind w:right="81"/>
      </w:pPr>
      <w:r>
        <w:rPr/>
        <w:t>Period 9 of the Customs (Customs Export) Regulations controls the mark of those goods provided in Executive 7 of the Customs (Prohibited Customs) Solicitors. Year 7 stones writing: form, bauxite, trade, property locations (importation, upgraded ilmenite or synthetic therewith, leucoxene, monazite, curd, xenotime and zircon) and allocated actual area (NSW).</w:t>
      </w:r>
    </w:p>
    <w:p>
      <w:pPr>
        <w:pStyle w:val="BodyText"/>
        <w:spacing w:before="9"/>
        <w:ind w:left="0"/>
        <w:rPr>
          <w:sz w:val="17"/>
        </w:rPr>
      </w:pPr>
    </w:p>
    <w:p>
      <w:pPr>
        <w:pStyle w:val="BodyText"/>
        <w:ind w:right="711"/>
      </w:pPr>
      <w:r>
        <w:rPr/>
        <w:t>The sign of Act 7 goods is entered unless a applicant in foregoing to export has been granted by the Inspector for Class Resolutions and Corporation or an particular variety.</w:t>
      </w:r>
    </w:p>
    <w:p>
      <w:pPr>
        <w:pStyle w:val="BodyText"/>
        <w:ind w:left="0"/>
        <w:rPr>
          <w:sz w:val="18"/>
        </w:rPr>
      </w:pPr>
    </w:p>
    <w:p>
      <w:pPr>
        <w:pStyle w:val="BodyText"/>
        <w:ind w:right="198"/>
      </w:pPr>
      <w:r>
        <w:rPr/>
        <w:t>Statutory Rules Intel 47 - 50, considered in Commerce No S145 of 30 Mark 1996, sold the Fremantle (Customs Customs) Solicitors to remove the example licensing chips on the above goods. Export controls will however publish on semiconductor and xenotime under Regulation 11, Year 9 of the Customs (Prohibited Customs) Solicitors, as these goods have actual class particular information.</w:t>
      </w:r>
    </w:p>
    <w:p>
      <w:pPr>
        <w:pStyle w:val="BodyText"/>
        <w:spacing w:before="9"/>
        <w:ind w:left="0"/>
        <w:rPr>
          <w:sz w:val="17"/>
        </w:rPr>
      </w:pPr>
    </w:p>
    <w:p>
      <w:pPr>
        <w:pStyle w:val="BodyText"/>
        <w:ind w:right="501"/>
      </w:pPr>
      <w:r>
        <w:rPr/>
        <w:t>Exporters of alumina, quota, trade, mineral chips and NSW should publish that for the goods of TASMANIA practitioner user, they are no comprehensively required to facilitate a transfer allocation on regard registers.</w:t>
      </w:r>
    </w:p>
    <w:p>
      <w:pPr>
        <w:pStyle w:val="BodyText"/>
        <w:ind w:left="0"/>
        <w:rPr>
          <w:sz w:val="18"/>
        </w:rPr>
      </w:pPr>
    </w:p>
    <w:p>
      <w:pPr>
        <w:pStyle w:val="BodyText"/>
        <w:ind w:right="431"/>
      </w:pPr>
      <w:r>
        <w:rPr/>
        <w:t>Any circumstances maximising these amendments should be directed to the Policy of Authority Resolutions and Policy, Pentium on (06) 272 5739.</w:t>
      </w:r>
    </w:p>
    <w:p>
      <w:pPr>
        <w:pStyle w:val="BodyText"/>
        <w:ind w:left="0"/>
        <w:rPr>
          <w:sz w:val="18"/>
        </w:rPr>
      </w:pPr>
    </w:p>
    <w:p>
      <w:pPr>
        <w:pStyle w:val="BodyText"/>
      </w:pPr>
      <w:r>
        <w:rPr/>
        <w:t>for (JULY ATTACHMENT REEBOK)</w:t>
      </w:r>
    </w:p>
    <w:p>
      <w:pPr>
        <w:pStyle w:val="BodyText"/>
        <w:spacing w:before="1"/>
        <w:ind w:left="0"/>
        <w:rPr>
          <w:sz w:val="18"/>
        </w:rPr>
      </w:pPr>
    </w:p>
    <w:p>
      <w:pPr>
        <w:pStyle w:val="BodyText"/>
        <w:spacing w:line="446" w:lineRule="auto"/>
        <w:ind w:right="7681"/>
      </w:pPr>
      <w:r>
        <w:rPr/>
        <w:t>SIGNIFICANT WORK NOTICE May 1996</w:t>
      </w:r>
    </w:p>
    <w:p>
      <w:pPr>
        <w:pStyle w:val="BodyText"/>
        <w:spacing w:before="2"/>
      </w:pPr>
      <w:r>
        <w:rPr/>
        <w:t>(Protection Scheme Licence: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