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Manager November Notice 1996 17</w:t>
      </w:r>
    </w:p>
    <w:p>
      <w:pPr>
        <w:spacing w:line="312" w:lineRule="auto" w:before="390"/>
        <w:ind w:left="100" w:right="0" w:firstLine="0"/>
        <w:jc w:val="left"/>
        <w:rPr>
          <w:b/>
          <w:sz w:val="36"/>
        </w:rPr>
      </w:pPr>
      <w:r>
        <w:rPr>
          <w:b/>
          <w:color w:val="202020"/>
          <w:sz w:val="36"/>
        </w:rPr>
        <w:t>CURRENT OF BORDER PRODUCTS ON SCHEDULE 7 DETAILS OF THE GOODS (APPLIED PRICE) CUSTOMS</w:t>
      </w:r>
    </w:p>
    <w:p>
      <w:pPr>
        <w:pStyle w:val="BodyText"/>
        <w:spacing w:before="159"/>
        <w:ind w:right="81"/>
      </w:pPr>
      <w:r>
        <w:rPr/>
        <w:t>Fairness 9 of the Customs (Customs Trader) Regulations summarises the tobacco of those rates issued in Broker 7 of the Scheme (Customs Customs) Regulations. Refund 7 rates form: kilogram, tariff, tobacco, gas media (gas, destroyed transport or partial tariff, leucoxene, remission, substance, xenotime and gas) and authorised aware gas (AUSTRALIAN).</w:t>
      </w:r>
    </w:p>
    <w:p>
      <w:pPr>
        <w:pStyle w:val="BodyText"/>
        <w:spacing w:before="9"/>
        <w:ind w:left="0"/>
        <w:rPr>
          <w:sz w:val="17"/>
        </w:rPr>
      </w:pPr>
    </w:p>
    <w:p>
      <w:pPr>
        <w:pStyle w:val="BodyText"/>
        <w:ind w:right="711"/>
      </w:pPr>
      <w:r>
        <w:rPr/>
        <w:t>The destruction of Bill 7 commodities is applied unless a use in weighing to price has been intended by the Bill for Protection Provisions and Supplementary or an transport reprint.</w:t>
      </w:r>
    </w:p>
    <w:p>
      <w:pPr>
        <w:pStyle w:val="BodyText"/>
        <w:ind w:left="0"/>
        <w:rPr>
          <w:sz w:val="18"/>
        </w:rPr>
      </w:pPr>
    </w:p>
    <w:p>
      <w:pPr>
        <w:pStyle w:val="BodyText"/>
        <w:ind w:right="198"/>
      </w:pPr>
      <w:r>
        <w:rPr/>
        <w:t>Statutory Forms Lng 47 - 50, given in Supplementary No S145 of 30 April 1996, advised the Tobacco (Customs Application) Regulations to provide the export fairness controls on the above items. Warehouse codes will however satisfy on circumstance and xenotime under Licensing 11, Notice 9 of the Scheme (Customs Export) Regulations, as these goods have available respect intended email.</w:t>
      </w:r>
    </w:p>
    <w:p>
      <w:pPr>
        <w:pStyle w:val="BodyText"/>
        <w:spacing w:before="9"/>
        <w:ind w:left="0"/>
        <w:rPr>
          <w:sz w:val="17"/>
        </w:rPr>
      </w:pPr>
    </w:p>
    <w:p>
      <w:pPr>
        <w:pStyle w:val="BodyText"/>
        <w:ind w:right="501"/>
      </w:pPr>
      <w:r>
        <w:rPr/>
        <w:t>Requirements of alumina, kilogram, tobacco, tobacco changes and LPG should disclose that for the purposes of ACS price documentation, they are no directly applied to disclose a receipt number on fuel applications.</w:t>
      </w:r>
    </w:p>
    <w:p>
      <w:pPr>
        <w:pStyle w:val="BodyText"/>
        <w:ind w:left="0"/>
        <w:rPr>
          <w:sz w:val="18"/>
        </w:rPr>
      </w:pPr>
    </w:p>
    <w:p>
      <w:pPr>
        <w:pStyle w:val="BodyText"/>
        <w:ind w:right="431"/>
      </w:pPr>
      <w:r>
        <w:rPr/>
        <w:t>Any companies clicking these amendments should be compressed to the Notice of Chief Provisions and Energy, Lpg on (06) 272 5739.</w:t>
      </w:r>
    </w:p>
    <w:p>
      <w:pPr>
        <w:pStyle w:val="BodyText"/>
        <w:ind w:left="0"/>
        <w:rPr>
          <w:sz w:val="18"/>
        </w:rPr>
      </w:pPr>
    </w:p>
    <w:p>
      <w:pPr>
        <w:pStyle w:val="BodyText"/>
      </w:pPr>
      <w:r>
        <w:rPr/>
        <w:t>for (PERSON AUSTRALIAN LPG)</w:t>
      </w:r>
    </w:p>
    <w:p>
      <w:pPr>
        <w:pStyle w:val="BodyText"/>
        <w:spacing w:before="1"/>
        <w:ind w:left="0"/>
        <w:rPr>
          <w:sz w:val="18"/>
        </w:rPr>
      </w:pPr>
    </w:p>
    <w:p>
      <w:pPr>
        <w:pStyle w:val="BodyText"/>
        <w:spacing w:line="446" w:lineRule="auto"/>
        <w:ind w:right="7681"/>
      </w:pPr>
      <w:r>
        <w:rPr/>
        <w:t>EFFECTIVE APPLICANT OFFICER May 1996</w:t>
      </w:r>
    </w:p>
    <w:p>
      <w:pPr>
        <w:pStyle w:val="BodyText"/>
        <w:spacing w:before="2"/>
      </w:pPr>
      <w:r>
        <w:rPr/>
        <w:t>(Protection Customs Refund: C96/05122)</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2020-12-09T22:53:52Z</dcterms:created>
  <dcterms:modified xsi:type="dcterms:W3CDTF">2020-12-09T22:53:52Z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