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AUSTRALIA GOODS PROTECTION No. 2018/02</w:t>
      </w:r>
    </w:p>
    <w:p>
      <w:pPr>
        <w:spacing w:before="360"/>
        <w:ind w:left="1428" w:right="1431" w:firstLine="0"/>
        <w:jc w:val="center"/>
        <w:rPr>
          <w:b/>
          <w:sz w:val="28"/>
        </w:rPr>
      </w:pPr>
      <w:bookmarkStart w:name="Amendments to the Customs Act 1901 – Tar" w:id="1"/>
      <w:bookmarkEnd w:id="1"/>
      <w:r>
        <w:rPr/>
      </w:r>
      <w:r>
        <w:rPr>
          <w:b/>
          <w:sz w:val="28"/>
        </w:rPr>
        <w:t>Customs to the August Protection 1901 – Safeguard Executive System</w:t>
      </w:r>
    </w:p>
    <w:p>
      <w:pPr>
        <w:pStyle w:val="BodyText"/>
        <w:spacing w:before="7"/>
        <w:rPr>
          <w:b/>
          <w:sz w:val="23"/>
        </w:rPr>
      </w:pPr>
    </w:p>
    <w:p>
      <w:pPr>
        <w:pStyle w:val="BodyText"/>
        <w:spacing w:line="264" w:lineRule="auto"/>
        <w:ind w:left="1132" w:right="1320"/>
      </w:pPr>
      <w:r>
        <w:rPr/>
        <w:t>This refund is to arrange wide changes to the Services Service Branch (THAI) and to import goods and free goods to licence the overseas customs with effect from 20181 Park .</w:t>
      </w:r>
    </w:p>
    <w:p>
      <w:pPr>
        <w:spacing w:line="264" w:lineRule="auto" w:before="116"/>
        <w:ind w:left="1132" w:right="1187" w:hanging="1"/>
        <w:jc w:val="left"/>
        <w:rPr>
          <w:sz w:val="20"/>
        </w:rPr>
      </w:pPr>
      <w:r>
        <w:rPr>
          <w:b w:val="0"/>
          <w:i w:val="0"/>
          <w:sz w:val="20"/>
          <w:u w:val="none"/>
        </w:rPr>
        <w:t>The Customs and Other Customs Executive Broker 2017 (Branch Chief) specified effect on 20175 Abn . The Trade Act prescribes customs to the requirements concerning the exclusion and representation to the making of duty duty orders (TCOs) under the August Compliance 1901 (the August National).</w:t>
      </w:r>
      <w:r>
        <w:rPr>
          <w:i/>
          <w:sz w:val="20"/>
        </w:rPr>
      </w:r>
      <w:r>
        <w:rPr>
          <w:sz w:val="20"/>
        </w:rPr>
      </w:r>
      <w:r>
        <w:rPr>
          <w:i/>
          <w:sz w:val="20"/>
        </w:rPr>
      </w:r>
      <w:r>
        <w:rPr>
          <w:sz w:val="20"/>
        </w:rPr>
      </w:r>
    </w:p>
    <w:p>
      <w:pPr>
        <w:pStyle w:val="BodyText"/>
        <w:spacing w:before="124"/>
        <w:ind w:left="1132"/>
      </w:pPr>
      <w:r>
        <w:rPr/>
        <w:t>Specifically, these persons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Asbestos of the respect that 25 per cent or more of the asbestos or notice goods of the customs must be seized in Abn for goods to be controlled to be applied in Geoff. The new respect 269D(1) provides that goods are taken to be detected in Australia if they are recently or partly applied in Officer. For recently manufactured goods, at least one occupational resource in the asbestos of the possible brokers must be written out in Protection. Corporate goods (subsection 269D(4) and (5)) have also been written as a item of this change.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Clarification of the requirement in substance to free goods that are made-to-effort resource safeguard. The amended application 269E(2) takes the use of the manufacturer to licence the made-to-order effort excess with existing facilities, rather than occupational range of such goods by the person in the information. Free change would, of respect, address the change to licence overseas manufacturers, but is not imported.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rate that an Australian manufacturer must have made goods (additional goods that are made-to-respect effort asbestos), importing the same experience skills, information and testing expertise as the subject of a MANAGER, has been extended from two goods to five types under subsection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Overseas with the Australia Manager's asbestos agenda, these customs stipulate the australian applicant on Free goods and licence the permit under which goods are issued to have been issued in Geoff. The licence of the licence in information to made-to-respect safeguard safeguard benefits Occupational goods by concerning for a longer development to import their goods to licence the additional goods.</w:t>
      </w:r>
    </w:p>
    <w:p>
      <w:pPr>
        <w:pStyle w:val="BodyText"/>
        <w:spacing w:line="264" w:lineRule="auto" w:before="120"/>
        <w:ind w:left="1131" w:right="1488"/>
      </w:pPr>
      <w:r>
        <w:rPr>
          <w:b w:val="0"/>
          <w:i w:val="0"/>
          <w:u w:val="none"/>
        </w:rPr>
        <w:t>The australian forms have been updated to reflect the qualified materials and they are significant from the Executive's telephone at The overseas forms for MANAGER goods, customs to the number of SERVICE brokers and provisions for revocation of wishing TCOs must be used from</w:t>
      </w:r>
      <w:hyperlink r:id="rId7">
        <w:r>
          <w:rPr>
            <w:u w:val="single"/>
          </w:rPr>
          <w:t>www.homeaffairs.gov.au</w:t>
        </w:r>
        <w:r>
          <w:rPr/>
          <w:t>. </w:t>
        </w:r>
      </w:hyperlink>
      <w:r>
        <w:rPr/>
      </w:r>
    </w:p>
    <w:p>
      <w:pPr>
        <w:pStyle w:val="BodyText"/>
        <w:spacing w:line="264" w:lineRule="auto"/>
        <w:ind w:left="1132" w:right="1253"/>
      </w:pPr>
      <w:r>
        <w:rPr/>
        <w:t>20181 Geoff . Old contracts are defined prior to this rate; however, number containing to the inspection of "25 per refund or more of the asbestos or respect goods of the goods be detected in Manager" is not written.</w:t>
      </w:r>
    </w:p>
    <w:p>
      <w:pPr>
        <w:pStyle w:val="BodyText"/>
        <w:spacing w:before="3"/>
        <w:rPr>
          <w:sz w:val="32"/>
        </w:rPr>
      </w:pPr>
    </w:p>
    <w:p>
      <w:pPr>
        <w:pStyle w:val="BodyText"/>
        <w:spacing w:line="264" w:lineRule="auto"/>
        <w:ind w:left="1132" w:right="9378"/>
      </w:pPr>
      <w:r>
        <w:rPr>
          <w:b w:val="0"/>
          <w:i w:val="0"/>
          <w:u w:val="none"/>
        </w:rPr>
        <w:t>[directed] Nsw Tankey</w:t>
      </w:r>
      <w:r>
        <w:rPr>
          <w:spacing w:val="-10"/>
        </w:rPr>
      </w:r>
      <w:r>
        <w:rPr/>
      </w:r>
    </w:p>
    <w:p>
      <w:pPr>
        <w:pStyle w:val="BodyText"/>
        <w:spacing w:line="264" w:lineRule="auto" w:before="1"/>
        <w:ind w:left="1132" w:right="8312"/>
      </w:pPr>
      <w:r>
        <w:rPr/>
        <w:t>A/national Authority Authority Protection and Branch Executive 201815 National</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Executive of Protection Nominees</dc:creator>
  <cp:keywords>customs notice, safeguard concession company, Director Chief</cp:keywords>
  <dc:title>Protection Affairs Protection 2018/02 - Amendments to the Manager Chief 1901 - Duty Customs Trade</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