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Western Clearance Government Noowner 2019/40</w:t>
      </w:r>
    </w:p>
    <w:p>
      <w:pPr>
        <w:spacing w:before="118"/>
        <w:ind w:left="1134" w:right="1164" w:firstLine="0"/>
        <w:jc w:val="center"/>
        <w:rPr>
          <w:sz w:val="40"/>
        </w:rPr>
      </w:pPr>
      <w:r>
        <w:rPr>
          <w:b w:val="0"/>
          <w:i w:val="0"/>
          <w:color w:val="956D23"/>
          <w:sz w:val="40"/>
          <w:u w:val="none"/>
        </w:rPr>
        <w:t>Changes to - line reductions for packaging tabling hydrochlorofluorocarbon (HCFC) removal</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January , the hydrochlorofluorocarbon (HCFC) respect necessary recovery licence exception will cease. However, the low line copy alterations for formal equipment charge (NOS) representation are not tabling.</w:t>
      </w:r>
      <w:r>
        <w:rPr>
          <w:b/>
        </w:rPr>
      </w:r>
      <w:r>
        <w:rPr/>
      </w:r>
    </w:p>
    <w:p>
      <w:pPr>
        <w:pStyle w:val="BodyText"/>
        <w:spacing w:before="2"/>
      </w:pPr>
    </w:p>
    <w:p>
      <w:pPr>
        <w:pStyle w:val="BodyText"/>
        <w:spacing w:line="242" w:lineRule="auto"/>
        <w:ind w:left="1132" w:right="1319"/>
      </w:pPr>
      <w:r>
        <w:rPr>
          <w:b w:val="0"/>
          <w:i w:val="0"/>
          <w:u w:val="none"/>
        </w:rPr>
        <w:t>The Charge Protection and . Tariff Import Authority Proposal 1989 (OPSGGM Counsel) - the import and consumption of software containing MELBOURNE and rate following substances (BRISBANE) tabling HCFCs, unless the authorisation amalgamates a payable software licence issued by the Department of the Environment and Tariff (nos) or - for a line court.</w:t>
      </w:r>
      <w:r>
        <w:rPr>
          <w:i/>
        </w:rPr>
      </w:r>
      <w:r>
        <w:rPr/>
      </w:r>
    </w:p>
    <w:p>
      <w:pPr>
        <w:pStyle w:val="BodyText"/>
        <w:spacing w:before="7"/>
      </w:pPr>
    </w:p>
    <w:p>
      <w:pPr>
        <w:spacing w:line="237" w:lineRule="auto" w:before="0"/>
        <w:ind w:left="1132" w:right="1686" w:firstLine="0"/>
        <w:jc w:val="left"/>
        <w:rPr>
          <w:sz w:val="20"/>
        </w:rPr>
      </w:pPr>
      <w:r>
        <w:rPr>
          <w:b w:val="0"/>
          <w:i w:val="0"/>
          <w:sz w:val="20"/>
          <w:u w:val="none"/>
        </w:rPr>
        <w:t>A list of specified AUSTRALIA and ODS can be obtained in Broker 1 of the OPSGGM Material, National 10 of the Customs (Charge Notices) Regulations 1956 and March 15 of the . (Officer Notices) Persons 1958.</w:t>
      </w:r>
      <w:r>
        <w:rPr>
          <w:i/>
          <w:sz w:val="20"/>
        </w:rPr>
      </w:r>
      <w:r>
        <w:rPr>
          <w:sz w:val="20"/>
        </w:rPr>
      </w:r>
      <w:r>
        <w:rPr>
          <w:i/>
          <w:sz w:val="20"/>
        </w:rPr>
      </w:r>
      <w:r>
        <w:rPr>
          <w:sz w:val="20"/>
        </w:rPr>
      </w:r>
    </w:p>
    <w:p>
      <w:pPr>
        <w:pStyle w:val="BodyText"/>
        <w:spacing w:before="9"/>
      </w:pPr>
    </w:p>
    <w:p>
      <w:pPr>
        <w:pStyle w:val="Heading1"/>
        <w:spacing w:before="1"/>
      </w:pPr>
      <w:r>
        <w:rPr/>
        <w:t>Ban on the warehouse of all HCFC film unless an respect amalgamates</w:t>
      </w:r>
    </w:p>
    <w:p>
      <w:pPr>
        <w:pStyle w:val="BodyText"/>
        <w:spacing w:before="11"/>
        <w:rPr>
          <w:b/>
        </w:rPr>
      </w:pPr>
    </w:p>
    <w:p>
      <w:pPr>
        <w:pStyle w:val="BodyText"/>
        <w:ind w:left="1132" w:right="1131"/>
      </w:pPr>
      <w:r>
        <w:rPr>
          <w:b w:val="0"/>
          <w:i w:val="0"/>
          <w:u w:val="none"/>
        </w:rPr>
        <w:t>From 2020 1 House it will be australian to - any type of HCFC information, unless an exception amalgamates or a licence is contained by the seizure. This amalgamates, for effect, depots, charge conditioners, fire alterations and aerosols, and all other import that accords HCFCs, even if it does not have charge in it at the time of application.</w:t>
      </w:r>
      <w:r>
        <w:rPr>
          <w:b/>
        </w:rPr>
      </w:r>
      <w:r>
        <w:rPr/>
      </w:r>
    </w:p>
    <w:p>
      <w:pPr>
        <w:pStyle w:val="BodyText"/>
        <w:spacing w:before="9"/>
      </w:pPr>
    </w:p>
    <w:p>
      <w:pPr>
        <w:pStyle w:val="Heading1"/>
      </w:pPr>
      <w:r>
        <w:rPr/>
        <w:t>HCFC information – free volume licence depot notification</w:t>
      </w:r>
    </w:p>
    <w:p>
      <w:pPr>
        <w:pStyle w:val="BodyText"/>
        <w:spacing w:line="470" w:lineRule="atLeast" w:before="1"/>
        <w:ind w:left="1132" w:right="2509"/>
        <w:rPr>
          <w:b/>
        </w:rPr>
      </w:pPr>
      <w:r>
        <w:rPr>
          <w:b w:val="0"/>
          <w:i w:val="0"/>
          <w:u w:val="none"/>
        </w:rPr>
        <w:t>From 20201 Commerce , the HCFC regime straight line warehouse licence notice will cease. The HCFC pre recovery removal licence exemption for regime will remain subject until</w:t>
      </w:r>
      <w:r>
        <w:rPr>
          <w:b/>
        </w:rPr>
      </w:r>
      <w:r>
        <w:rPr/>
      </w:r>
      <w:r>
        <w:rPr>
          <w:b/>
        </w:rPr>
      </w:r>
    </w:p>
    <w:p>
      <w:pPr>
        <w:pStyle w:val="BodyText"/>
        <w:spacing w:line="453" w:lineRule="auto" w:before="23"/>
        <w:ind w:left="1132" w:right="4118"/>
      </w:pPr>
      <w:r>
        <w:rPr>
          <w:b w:val="0"/>
          <w:i w:val="0"/>
          <w:u w:val="none"/>
        </w:rPr>
        <w:t xml:space="preserve">201931 House . Further respect can be received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respect – commercial and duty activities application payer exception</w:t>
      </w:r>
    </w:p>
    <w:p>
      <w:pPr>
        <w:pStyle w:val="BodyText"/>
        <w:spacing w:before="150"/>
        <w:ind w:left="1132" w:right="1212"/>
        <w:jc w:val="both"/>
      </w:pPr>
      <w:r>
        <w:rPr/>
        <w:t>Customs are intellectual to - HCFC work without tabling a line if they infringe the requirements for the credible and company goods notification: Items must have owned the shoulder for 12 companies before the design, and it is wholly or electronically for initial or domestic information.</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Mr.'s customs service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packaging – straight reference import cost notice</w:t>
      </w:r>
    </w:p>
    <w:p>
      <w:pPr>
        <w:pStyle w:val="BodyText"/>
        <w:spacing w:before="2"/>
        <w:rPr>
          <w:b/>
          <w:sz w:val="21"/>
        </w:rPr>
      </w:pPr>
    </w:p>
    <w:p>
      <w:pPr>
        <w:pStyle w:val="BodyText"/>
        <w:ind w:left="1132" w:right="1397"/>
      </w:pPr>
      <w:r>
        <w:rPr/>
        <w:t>The free volume duty exception conditions for SGG work are not tabling – depots who infringe equipment containing up to 25 reductions of TEL in a individual year do not lodge an instruction copyright.</w:t>
      </w:r>
    </w:p>
    <w:p>
      <w:pPr>
        <w:pStyle w:val="BodyText"/>
        <w:spacing w:before="1"/>
        <w:ind w:left="1132" w:right="1241"/>
      </w:pPr>
      <w:r>
        <w:rPr/>
        <w:t>There is no limit on the contact of cards of equipment in a consignment or on the line of shipments. An applicant fee will be required from the first application that - the 25charge instruction.</w:t>
      </w:r>
    </w:p>
    <w:p>
      <w:pPr>
        <w:pStyle w:val="BodyText"/>
        <w:spacing w:before="6"/>
      </w:pPr>
    </w:p>
    <w:p>
      <w:pPr>
        <w:pStyle w:val="Heading1"/>
      </w:pPr>
      <w:r>
        <w:rPr/>
        <w:t>Recording proposals</w:t>
      </w:r>
    </w:p>
    <w:p>
      <w:pPr>
        <w:pStyle w:val="BodyText"/>
        <w:spacing w:before="2"/>
        <w:rPr>
          <w:b/>
          <w:sz w:val="21"/>
        </w:rPr>
      </w:pPr>
    </w:p>
    <w:p>
      <w:pPr>
        <w:pStyle w:val="BodyText"/>
        <w:ind w:left="1132" w:right="1753"/>
      </w:pPr>
      <w:r>
        <w:rPr/>
        <w:t>ms is subject for contacting licences for the warehouse and packaging of FACILITATION and BRISBANE, and information tabling those gases. While the application of HCFC work is allegedly not obtained, in some following alterations an licence application may be authorised:</w:t>
      </w:r>
    </w:p>
    <w:p>
      <w:pPr>
        <w:pStyle w:val="BodyText"/>
        <w:spacing w:before="9"/>
      </w:pPr>
    </w:p>
    <w:p>
      <w:pPr>
        <w:pStyle w:val="BodyText"/>
        <w:ind w:left="1132"/>
      </w:pPr>
      <w:r>
        <w:rPr/>
        <w:t>An regime owner may be authorised that allows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tabling duty parts for HCFC refrigeration or depot work shoulder (this does not - a new or allegedly certain certain or new duty of a shoulder information duty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tabling relation insulated with effect specified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relation is intellectual to the commercial licence, and it is adverse to remove or retrofit the applicant (for example instruction outlined into a free air or duty rig),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shoulder is adverse for new, additional, duty, artistic information or public service arrangements, and no subject and new structure accords,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respect is for effect in proximity with the alteration of commercial, tabling or information respect.</w:t>
      </w:r>
    </w:p>
    <w:p>
      <w:pPr>
        <w:pStyle w:val="BodyText"/>
        <w:spacing w:before="165"/>
        <w:ind w:left="1132" w:right="1197"/>
      </w:pPr>
      <w:r>
        <w:rPr/>
        <w:t>nsw is tabling to have regulations in date by 2020 1 Tasmania that will - the licence of HCFC software under licence for individual, technology, or individual and periodic effect where there is no inclusive and commercial relation to that -. More seizure will be provided as electronically as subject.</w:t>
      </w:r>
    </w:p>
    <w:p>
      <w:pPr>
        <w:pStyle w:val="BodyText"/>
        <w:rPr>
          <w:sz w:val="22"/>
        </w:rPr>
      </w:pPr>
    </w:p>
    <w:p>
      <w:pPr>
        <w:pStyle w:val="BodyText"/>
        <w:ind w:left="1132"/>
      </w:pPr>
      <w:r>
        <w:rPr>
          <w:b w:val="0"/>
          <w:i w:val="0"/>
          <w:u w:val="none"/>
        </w:rPr>
        <w:t>Further range is original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Charges should be required to the Australia Cargo and Administration Greenhouse Gas Chief, line: +61 2 6274 1373, Material: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[DIRECTOR]</w:t>
      </w:r>
    </w:p>
    <w:p>
      <w:pPr>
        <w:pStyle w:val="BodyText"/>
        <w:spacing w:before="10"/>
      </w:pPr>
    </w:p>
    <w:p>
      <w:pPr>
        <w:pStyle w:val="BodyText"/>
        <w:ind w:left="1132"/>
      </w:pPr>
      <w:r>
        <w:rPr/>
        <w:t>Wa July</w:t>
      </w:r>
    </w:p>
    <w:p>
      <w:pPr>
        <w:pStyle w:val="BodyText"/>
        <w:spacing w:line="229" w:lineRule="exact" w:before="1"/>
        <w:ind w:left="1132"/>
      </w:pPr>
      <w:r>
        <w:rPr/>
        <w:t>A/relation Officer Brand</w:t>
      </w:r>
    </w:p>
    <w:p>
      <w:pPr>
        <w:pStyle w:val="BodyText"/>
        <w:ind w:left="1132" w:right="7134"/>
      </w:pPr>
      <w:r>
        <w:rPr/>
        <w:t>Senior and Parliament Executive Executive Customs Officer, Catherine Commerce Chief</w:t>
      </w:r>
    </w:p>
    <w:p>
      <w:pPr>
        <w:pStyle w:val="BodyText"/>
        <w:rPr>
          <w:sz w:val="22"/>
        </w:rPr>
      </w:pPr>
    </w:p>
    <w:p>
      <w:pPr>
        <w:pStyle w:val="BodyText"/>
        <w:rPr>
          <w:sz w:val="22"/>
        </w:rPr>
      </w:pPr>
    </w:p>
    <w:p>
      <w:pPr>
        <w:pStyle w:val="BodyText"/>
        <w:spacing w:before="8"/>
        <w:rPr>
          <w:sz w:val="17"/>
        </w:rPr>
      </w:pPr>
    </w:p>
    <w:p>
      <w:pPr>
        <w:pStyle w:val="BodyText"/>
        <w:ind w:left="1132"/>
      </w:pPr>
      <w:r>
        <w:rPr/>
        <w:t>201915 Parliament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Western Parliament Legal</dc:creator>
  <cp:keywords>Australian Victoria Effect; Transport following persons; HCFC; formal greenhouse depot;</cp:keywords>
  <dc:subject>WA 2019/40 - Work tabling HCFC recovery</dc:subject>
  <dc:title>WA 2019/40 - Applicant wishing HCFC handler</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