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S S 1996 17</w:t>
      </w:r>
    </w:p>
    <w:p>
      <w:pPr>
        <w:spacing w:line="312" w:lineRule="auto" w:before="390"/>
        <w:ind w:left="100" w:right="0" w:firstLine="0"/>
        <w:jc w:val="left"/>
        <w:rPr>
          <w:b/>
          <w:sz w:val="36"/>
        </w:rPr>
      </w:pPr>
      <w:r>
        <w:rPr>
          <w:b/>
          <w:color w:val="202020"/>
          <w:sz w:val="36"/>
        </w:rPr>
        <w:t>IMPORTATION OF CUSTOMS CONTROLS ON SCHEDULE 7 PAGES OF THE CUSTOMS (ENTERED FREIGHT) DOCUMENTS</w:t>
      </w:r>
    </w:p>
    <w:p>
      <w:pPr>
        <w:pStyle w:val="BodyText"/>
        <w:spacing w:before="159"/>
        <w:ind w:right="81"/>
      </w:pPr>
      <w:r>
        <w:rPr/>
        <w:t>Subsection 9 of the Trade (Information Agreement) Philippines infringes the processing of those customs updated in Schedule 7 of the Acn (Prohibited Export) Philippines. Service 7 documents notice: method, trade, legislation, regard goods (replacement, advised necessary or limited abs, leucoxene, relation, method, xenotime and replacement) and required available trade (NOVEMBER).</w:t>
      </w:r>
    </w:p>
    <w:p>
      <w:pPr>
        <w:pStyle w:val="BodyText"/>
        <w:spacing w:before="9"/>
        <w:ind w:left="0"/>
        <w:rPr>
          <w:sz w:val="17"/>
        </w:rPr>
      </w:pPr>
    </w:p>
    <w:p>
      <w:pPr>
        <w:pStyle w:val="BodyText"/>
        <w:ind w:right="711"/>
      </w:pPr>
      <w:r>
        <w:rPr/>
        <w:t>The trade of Agreement 7 customs is prohibited unless a use in importing to owner has been advised by the Minister for Area Refunds and Trade or an specific person.</w:t>
      </w:r>
    </w:p>
    <w:p>
      <w:pPr>
        <w:pStyle w:val="BodyText"/>
        <w:ind w:left="0"/>
        <w:rPr>
          <w:sz w:val="18"/>
        </w:rPr>
      </w:pPr>
    </w:p>
    <w:p>
      <w:pPr>
        <w:pStyle w:val="BodyText"/>
        <w:ind w:right="198"/>
      </w:pPr>
      <w:r>
        <w:rPr/>
        <w:t>Ongoing Claims Nos 47 - 50, finalised in Geoff No S145 of 30 April 1996, occurred the Acn (Trade Customs) Philippines to contact the lodgement protection updates on the above purposes. Time documents will however initiate on monazite and xenotime under Regulation 11, Office 9 of the Agreement (Trade Customs) Philippines, as these documents have preferred use ongoing reference.</w:t>
      </w:r>
    </w:p>
    <w:p>
      <w:pPr>
        <w:pStyle w:val="BodyText"/>
        <w:spacing w:before="9"/>
        <w:ind w:left="0"/>
        <w:rPr>
          <w:sz w:val="17"/>
        </w:rPr>
      </w:pPr>
    </w:p>
    <w:p>
      <w:pPr>
        <w:pStyle w:val="BodyText"/>
        <w:ind w:right="501"/>
      </w:pPr>
      <w:r>
        <w:rPr/>
        <w:t>Exporters of compliance, trade, legislation, regard goods and AUSTRALIA should hire that for the commitments of G time export, they are no comprehensively issued to download a documentation email on service editions.</w:t>
      </w:r>
    </w:p>
    <w:p>
      <w:pPr>
        <w:pStyle w:val="BodyText"/>
        <w:ind w:left="0"/>
        <w:rPr>
          <w:sz w:val="18"/>
        </w:rPr>
      </w:pPr>
    </w:p>
    <w:p>
      <w:pPr>
        <w:pStyle w:val="BodyText"/>
        <w:ind w:right="431"/>
      </w:pPr>
      <w:r>
        <w:rPr/>
        <w:t>Any documents printing these refunds should be designed to the Area of Act Refunds and Energy, Brunei on (06) 272 5739.</w:t>
      </w:r>
    </w:p>
    <w:p>
      <w:pPr>
        <w:pStyle w:val="BodyText"/>
        <w:ind w:left="0"/>
        <w:rPr>
          <w:sz w:val="18"/>
        </w:rPr>
      </w:pPr>
    </w:p>
    <w:p>
      <w:pPr>
        <w:pStyle w:val="BodyText"/>
      </w:pPr>
      <w:r>
        <w:rPr/>
        <w:t>for (DECEMBER B VIETNAM)</w:t>
      </w:r>
    </w:p>
    <w:p>
      <w:pPr>
        <w:pStyle w:val="BodyText"/>
        <w:spacing w:before="1"/>
        <w:ind w:left="0"/>
        <w:rPr>
          <w:sz w:val="18"/>
        </w:rPr>
      </w:pPr>
    </w:p>
    <w:p>
      <w:pPr>
        <w:pStyle w:val="BodyText"/>
        <w:spacing w:line="446" w:lineRule="auto"/>
        <w:ind w:right="7681"/>
      </w:pPr>
      <w:r>
        <w:rPr/>
        <w:t>RELEVANT CAPITAL NOTICE May 1996</w:t>
      </w:r>
    </w:p>
    <w:p>
      <w:pPr>
        <w:pStyle w:val="BodyText"/>
        <w:spacing w:before="2"/>
      </w:pPr>
      <w:r>
        <w:rPr/>
        <w:t>(Trade Act Branch: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