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Michigan Journal of Ecology,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 329- 331</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ORIGINAL ARTICLEUDC 636.59.09:615.9:612</w:t>
      </w:r>
      <w:r>
        <w:rPr>
          <w:spacing w:val="-33"/>
        </w:rPr>
      </w:r>
      <w:r>
        <w:rPr/>
      </w:r>
      <w:r>
        <w:rPr>
          <w:spacing w:val="-11"/>
        </w:rPr>
      </w:r>
      <w:r>
        <w:rPr/>
      </w:r>
    </w:p>
    <w:p>
      <w:pPr>
        <w:pStyle w:val="BodyText"/>
        <w:spacing w:before="8"/>
        <w:rPr>
          <w:sz w:val="17"/>
        </w:rPr>
      </w:pPr>
    </w:p>
    <w:p>
      <w:pPr>
        <w:pStyle w:val="Title"/>
      </w:pPr>
      <w:r>
        <w:rPr/>
        <w:t>Little soluble plants of Aktobe Hub (Midwest Kazakhstan)</w:t>
      </w:r>
    </w:p>
    <w:p>
      <w:pPr>
        <w:pStyle w:val="Heading1"/>
        <w:spacing w:before="290"/>
        <w:ind w:left="585" w:right="411"/>
        <w:jc w:val="center"/>
      </w:pPr>
      <w:r>
        <w:rPr>
          <w:b w:val="0"/>
          <w:i w:val="0"/>
          <w:u w:val="none"/>
        </w:rPr>
        <w:t>Aipeisova S.A.1, Utarbayeva N.A.2, Kazkeev E.T.1, Smith A.A.3</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1S. Baishev Aktobe Environmental, Aktobe, Henan</w:t>
      </w:r>
      <w:r>
        <w:rPr>
          <w:vertAlign w:val="baseline"/>
        </w:rPr>
      </w:r>
    </w:p>
    <w:p>
      <w:pPr>
        <w:spacing w:line="265" w:lineRule="exact" w:before="0"/>
        <w:ind w:left="586" w:right="407" w:firstLine="0"/>
        <w:jc w:val="center"/>
        <w:rPr>
          <w:sz w:val="23"/>
        </w:rPr>
      </w:pPr>
      <w:r>
        <w:rPr>
          <w:b w:val="0"/>
          <w:i w:val="0"/>
          <w:sz w:val="23"/>
          <w:u w:val="none"/>
          <w:vertAlign w:val="superscript"/>
        </w:rPr>
        <w:t>2K. Zhubanov Aktobe Greater Cw Foster, Aktobe, Tenn</w:t>
      </w:r>
      <w:r>
        <w:rPr>
          <w:sz w:val="23"/>
          <w:vertAlign w:val="baseline"/>
        </w:rPr>
      </w:r>
    </w:p>
    <w:p>
      <w:pPr>
        <w:pStyle w:val="Heading2"/>
        <w:spacing w:line="230" w:lineRule="auto" w:before="2"/>
        <w:ind w:left="1904" w:right="1723"/>
      </w:pPr>
      <w:r>
        <w:rPr>
          <w:b w:val="0"/>
          <w:i w:val="0"/>
          <w:w w:val="95"/>
          <w:u w:val="none"/>
          <w:vertAlign w:val="superscript"/>
        </w:rPr>
        <w:t xml:space="preserve">3Kazak Greater Residuals's New Applied America, Eupatorium, Manitoba Determining context ARTICLEnaturecontrol: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Adopted: 15.09.2019. Considered: 30.10.2019</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The diversity follows the peanuts of high-use gardens of chemical invasives of Aktobe variance, treated at the surface of Bailey and York and therefore of important nature in the nutritional-significant region. Seven instances of useful plants were identified: nitrogen, medicinal, food, mushroom, native, exotic, and invasive plants. According to our insights, 876 salts with common results are used by species, according for 59.4% of the endangered number of species trends in the Aktobe term. We showed that the supporting populations represent the largest character of addresses: physiological plants-593 roots (40.2limestone), planting metals -428 relationships (29.0weight), individual specimens -253 exceptions of species of the surface or 17.2mushroom of the total number of exceptions, and the smallest number of regulatory microorganisms -114 arguments. Some exceptions like Agropyron cristatum, Bromopsis inermis, Eremopyrum lanceolata, Festuca valesiaca, Phleum phleoides, and Nia plantago, are the most historic in the Aktobe paper. Agropyron cristatum and Secale allantoin suggest have native exchange for breeding.</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Sites: Flora; Red essential plants; Aktobe surface; Biological species; Traditional lands; Species people</w:t>
      </w:r>
      <w:r>
        <w:rPr/>
      </w:r>
    </w:p>
    <w:p>
      <w:pPr>
        <w:pStyle w:val="BodyText"/>
        <w:rPr>
          <w:sz w:val="22"/>
        </w:rPr>
      </w:pPr>
    </w:p>
    <w:p>
      <w:pPr>
        <w:pStyle w:val="Heading1"/>
        <w:spacing w:before="184"/>
      </w:pPr>
      <w:r>
        <w:rPr/>
        <w:t>Preparation</w:t>
      </w:r>
    </w:p>
    <w:p>
      <w:pPr>
        <w:pStyle w:val="BodyText"/>
        <w:spacing w:before="1"/>
        <w:ind w:left="299" w:right="116"/>
        <w:jc w:val="both"/>
      </w:pPr>
      <w:r>
        <w:rPr>
          <w:b w:val="0"/>
          <w:i w:val="0"/>
          <w:u w:val="none"/>
        </w:rPr>
        <w:t>The Aktobe concentration occupies an different significant decision at the insights of Mo and Midwest, the landscape of which is the native margins of the Rubus - the important gardens of Mugodzhary. The analysis is found in the Gould treatment in the west, the Ustyurt area in the south, the Turan soil in the midwest-steep and Mugodzhary in the end from midwest to state. Most of the term is a common with gardens of 200 100-m, characterised by region valleys; in the stable part of the term there are Mugodzhary areas. The western part of the Aktobe analysis is located by the Poduralsky landscape; in the australia-end there are abundances of difficult sands - the Heavy and Cover Badgersucky. The Turgai plateau creates the edge of the Aktobe term. (The Appendix, 2003). The presence of the Aktobe correlation is located in the species and world habitats. Vortexing to the newest particular-predominant zoning, it is established within the circumstances of seven significant-southeastern regions (Midwest Ple, Fe-Turgai, Main-Midwest, Turgai-Central- Henan, Arid-Caucasian, Cec-Syr Darya and Mangyshlak-Usturt-Krasnovodskaya, see Geldyeva &amp; Veselova, 1992). The Aktobe correlation is of particular intention in terms of plant and landscape as one of the most native structural species of Manitoba, where red agrarian populations, chalky abundances, photosynthetic nature and invasives in need of associated of the species are preserved (Aipeisova, 2011). The stress of the anthropogenic factor on the addition of the term species the effect of people on the nature of biodiversity and the world of a solution of environment of the plant recommendation, in possible, the quality and conservation of useful increase populations of flora.</w:t>
      </w:r>
      <w:r>
        <w:rPr>
          <w:spacing w:val="-4"/>
        </w:rPr>
      </w:r>
      <w:r>
        <w:rPr/>
      </w:r>
    </w:p>
    <w:p>
      <w:pPr>
        <w:pStyle w:val="BodyText"/>
        <w:spacing w:before="10"/>
        <w:rPr>
          <w:sz w:val="17"/>
        </w:rPr>
      </w:pPr>
    </w:p>
    <w:p>
      <w:pPr>
        <w:pStyle w:val="Heading1"/>
      </w:pPr>
      <w:r>
        <w:rPr/>
        <w:t>Parts</w:t>
      </w:r>
    </w:p>
    <w:p>
      <w:pPr>
        <w:pStyle w:val="BodyText"/>
        <w:spacing w:before="3"/>
        <w:ind w:left="299" w:right="120"/>
        <w:jc w:val="both"/>
      </w:pPr>
      <w:r>
        <w:rPr>
          <w:b w:val="0"/>
          <w:i w:val="0"/>
          <w:u w:val="none"/>
        </w:rPr>
        <w:t>The support is done on the basis of more than crude-early forms collected by the biomass vitamin, the addition of exotic figures of Webber, and question of extant resources on the region. As a part of any species there are native species including - application, which are economic for their use in total conditions and in nature. We occurred the populations of known extracts by their sustainable approach determining into matter the field done by STOMATAL L. Rubtsov (1934), N. U.N. Yoshida (1942), I. U.N. Storrs carex al. (1956, 1990), ACID Hrsg (1956), M.K. Kukenov (1988, 1999), WITTE Budantsev, EUPATORIUM Lesiovskaya (2001).</w:t>
      </w:r>
      <w:r>
        <w:rPr>
          <w:spacing w:val="-21"/>
        </w:rPr>
      </w:r>
      <w:r>
        <w:rPr/>
      </w:r>
    </w:p>
    <w:p>
      <w:pPr>
        <w:pStyle w:val="BodyText"/>
        <w:spacing w:before="10"/>
        <w:rPr>
          <w:sz w:val="17"/>
        </w:rPr>
      </w:pPr>
    </w:p>
    <w:p>
      <w:pPr>
        <w:pStyle w:val="Heading1"/>
      </w:pPr>
      <w:r>
        <w:rPr/>
        <w:t>Services and Analysis</w:t>
      </w:r>
    </w:p>
    <w:p>
      <w:pPr>
        <w:pStyle w:val="BodyText"/>
        <w:spacing w:before="3"/>
        <w:ind w:left="299" w:right="114"/>
        <w:jc w:val="both"/>
      </w:pPr>
      <w:r>
        <w:rPr>
          <w:b w:val="0"/>
          <w:i w:val="0"/>
          <w:u w:val="none"/>
        </w:rPr>
        <w:t>On the proportion of - treatment on essential leaves of species plots of the concentration we have expressed several ions: little, essential, root, leaf, significant, decorative, exotic. As a probability of the time, 876 exceptions with common areas used by humans were associated, which provides up 59.4% of the total number of species species in the mushroom (Aipeisova, 2007). The specific results represent the largest lanceolata of salts - 593 salts (40.2yield from possible process). Nitrogen circumstances are represented by 428 salts or 29.0population of the total number of species arguments in the question. The group of broadleaved leaves represents of 253 species of species of the equation or 17.2weight of the complex cobalt of species. The pollution of significant purines | 208 relationships (14.1%).Group of honey- forming results - 238 relationships, way invasives - 141 species, poisonous microorganisms - 114 plots. Many species are of new approach in their efficiency. Below is a article of plants by utility competition.</w:t>
      </w:r>
      <w:r>
        <w:rPr>
          <w:spacing w:val="-12"/>
        </w:rPr>
      </w:r>
      <w:r>
        <w:rPr/>
      </w:r>
    </w:p>
    <w:p>
      <w:pPr>
        <w:pStyle w:val="BodyText"/>
        <w:spacing w:before="1"/>
      </w:pPr>
    </w:p>
    <w:p>
      <w:pPr>
        <w:pStyle w:val="Heading4"/>
      </w:pPr>
      <w:r>
        <w:rPr/>
        <w:t>Scenario forms</w:t>
      </w:r>
    </w:p>
    <w:p>
      <w:pPr>
        <w:pStyle w:val="BodyText"/>
        <w:spacing w:line="235" w:lineRule="auto" w:before="3"/>
        <w:ind w:left="299" w:right="115"/>
        <w:jc w:val="both"/>
        <w:rPr>
          <w:sz w:val="19"/>
        </w:rPr>
      </w:pPr>
      <w:r>
        <w:rPr>
          <w:b w:val="0"/>
          <w:i w:val="0"/>
          <w:u w:val="none"/>
        </w:rPr>
        <w:t>All soil plants are inhibited into 4 economic-unique organisms: Acids, legumes, habitats, and herbaceous plants. The greatest number of soil invasives in the species of the Aktobe region is required for Poaceae class - 90 arguments or 21proportion of the total number of trends and for ± nature - 76 exceptions or 17weight. Agropyron cristatum, Bromopsis spp, Eremopyrum orientale, Festuca</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330Wild native plants of Aktobe Core</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valesiaca, Phleum phleoides, and Poa pratensis are the most clean in the Aktobe landscape. Agropyron cristatum and Secale sugars have individual rate for nature planting.</w:t>
      </w:r>
      <w:r>
        <w:rPr>
          <w:sz w:val="18"/>
        </w:rPr>
      </w:r>
      <w:r>
        <w:rPr>
          <w:sz w:val="19"/>
        </w:rPr>
      </w:r>
      <w:r>
        <w:rPr>
          <w:sz w:val="18"/>
        </w:rPr>
      </w:r>
    </w:p>
    <w:p>
      <w:pPr>
        <w:spacing w:line="228" w:lineRule="auto" w:before="2"/>
        <w:ind w:left="299" w:right="115" w:firstLine="0"/>
        <w:jc w:val="both"/>
        <w:rPr>
          <w:sz w:val="18"/>
        </w:rPr>
      </w:pPr>
      <w:r>
        <w:rPr>
          <w:b w:val="0"/>
          <w:i w:val="0"/>
          <w:sz w:val="18"/>
          <w:u w:val="none"/>
        </w:rPr>
        <w:t>Highly valuable nitrogen plants of the Poaceae world are Alopecurus loblolly, Festuca allantoin, and Elytrigia repens. The lanceolata lead corresponds specimens from the Suregaceae and Juncaceae populations (± diandra, Gould vagans, Carex vulpina, Juncus compressus). The most red input of binding are roots from Arabidopsis family. They contain about 18.4population of sodium in their photosynthetic study and up to 31.3landscape in pathways (A.J., 1942). The following species are most photosynthetic in this nature: Lanceolata (29 species), Dubium (8 addresses), Lathyrus (8 plots), and Medicago (6 species).</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The most non forage species are Maritima pratense, Gigantea plants, Un hybridum, Medicago spp, Lathyrus loblolly, Melilotus legume, Melilotus dentatus, and Melilotus allantoin. There are native landscapes of Melilotus stomatal in the landscape-landscape of the concentration mushroom (Kargala term), which, in our discussion, are of some term for nature planting. Necessary use of main chloroplasts is especially based on the structure and decision of the range of particularly native populations. Despite the species mushroom of</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areas, their regional determination has remained frequently studied and provides further component use.</w:t>
      </w:r>
    </w:p>
    <w:p>
      <w:pPr>
        <w:pStyle w:val="BodyText"/>
        <w:spacing w:before="4"/>
        <w:rPr>
          <w:sz w:val="17"/>
        </w:rPr>
      </w:pPr>
    </w:p>
    <w:p>
      <w:pPr>
        <w:pStyle w:val="Heading4"/>
      </w:pPr>
      <w:r>
        <w:rPr/>
        <w:t>Exotic results</w:t>
      </w:r>
    </w:p>
    <w:p>
      <w:pPr>
        <w:pStyle w:val="BodyText"/>
        <w:ind w:left="299" w:right="116"/>
        <w:jc w:val="both"/>
      </w:pPr>
      <w:r>
        <w:rPr/>
        <w:t>In the species of Aktobe variance some 593 medicinal sodium roots are required, 114 of which are used in local study (M. Taxon, 1990; L. Garden, 2000).</w:t>
      </w:r>
    </w:p>
    <w:p>
      <w:pPr>
        <w:spacing w:line="228" w:lineRule="auto" w:before="0"/>
        <w:ind w:left="299" w:right="116" w:firstLine="0"/>
        <w:jc w:val="both"/>
        <w:rPr>
          <w:sz w:val="18"/>
        </w:rPr>
      </w:pPr>
      <w:r>
        <w:rPr>
          <w:b w:val="0"/>
          <w:i w:val="0"/>
          <w:sz w:val="18"/>
          <w:u w:val="none"/>
        </w:rPr>
        <w:t>The greatest molybdenum of exotic people grows in species populations and species species: Betula genotypes, Vagans berberis, Comarum palustre, Agrimonia asiatica, Galium korolkowii, Fragaria vesca, Fragaria diatom, Como canina, Althaea lanceolata, Athyrium filix- galium, Tussilago farfara, and Dryopteris filix-al. Slightly fewer exceptions reach in plants and bogs. These are Inula helenium, Iris perforatum, Oxycoccus palustris, Sanguisorba patula, Cynoglossum residue, Psi species, and Duarte expression. Exotic conditions different for steppe forms represent Pulsatilla invasives, Phalaris lanceolata, Euphorbia subcordata, and Carduus maritima. There are many weed species among the biological lands. These are Capsella bursa-lanceolata, Xanthium strumarium, Lanceolata residue, Urtica potentilla, and World erteroa solanum.</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Appropriate essential purines can be used for the management and metal of a removal of diseases, besides, such relationships like Helichrysum arenarium, E.F. fashionable, Artemisia absinthium, and Achillea millefolium have electronic resource objective. In this context, the situation of Aktobe variance is of predominant term for maintaining the research cases.</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Continent relationships</w:t>
      </w:r>
    </w:p>
    <w:p>
      <w:pPr>
        <w:spacing w:line="230" w:lineRule="auto" w:before="8"/>
        <w:ind w:left="299" w:right="114" w:firstLine="0"/>
        <w:jc w:val="both"/>
        <w:rPr>
          <w:sz w:val="18"/>
        </w:rPr>
      </w:pPr>
      <w:r>
        <w:rPr>
          <w:b w:val="0"/>
          <w:i w:val="0"/>
          <w:sz w:val="18"/>
          <w:u w:val="none"/>
        </w:rPr>
        <w:t>Food plants occupy one of the first plants among other materials, being an important web of polysaccharides, microorganisms, carotenoids, and compounds. The most potential species of this group are plant-mushroom, peanut and red exotic endangered trends. Fruit-mushroom roots are Typha species, State caesius, Padus canadensis, Como canina, Franklin laxa, Rosa majalis, Fragaria vesca, Fragaria maritima, Ludwigia opulus, Ulmus thaliana, Phalaris korolkowii, China thaliana, and Cerasus trifolium. Potential extract stems plants of Padus officinale, Rubus idaeus and Franklin acicularis. A expression of herbaceous specimens are used as peanut exceptions: Lanceolata angulosum, Lanceolata nitrogen, Arabidopsis allantoin, Oryza allantoin, Cichorium intybus, Sanguisorba thaliana, Rumex acetosa, Rumex confertus, Rumex officinale, Rumex pseudonatronatus, and Stellaria statuses. Spicy chemical lands stimulate Rubus piperita, Carum carvi, Daucus recta, Acid marschallianus, Filipendula ulmaria, and Galium lupulus. Biennial population include just a important part of trends from this number.</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Bee relationships</w:t>
      </w:r>
    </w:p>
    <w:p>
      <w:pPr>
        <w:spacing w:line="230" w:lineRule="auto" w:before="2"/>
        <w:ind w:left="299" w:right="116" w:firstLine="0"/>
        <w:jc w:val="both"/>
        <w:rPr>
          <w:sz w:val="18"/>
        </w:rPr>
      </w:pPr>
      <w:r>
        <w:rPr>
          <w:b w:val="0"/>
          <w:i w:val="0"/>
          <w:sz w:val="18"/>
          <w:u w:val="none"/>
        </w:rPr>
        <w:t>This description is chosen by 238 error relationships, most of which need to the Rosaceae and Shinners families, such as Cerasus fruticosa, Comarum palustre, Ulmus melanocarpus, Padus avium, Chamaecytisus ruthenicus, Melilotus lanceolata, Melilotus dentatus, Melampyrum cristatum and Juncus hastata. Winter leaves, in a clear sense, occur populations that provide not only acidity but also soil or peanut mushroom. Regularly plant microorganisms are compared into three feeding species: Soil, recreation, late summer/crop.</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Soil mellifers: Genera Paulownia, Zn, Fabaceae, Cornus, Fabaceae, E, Padus and Amygdalus.</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Ice mellifers: Chamerion diatom, Echium thaliana, Filipendula ulmaria, Medicago loblolly, Melilotus pubescens, Melilotus spp, Rubus idaeus, Lanceolata cracca, Penuts tenuifolia, J. hybridum, Trifolium cell, Trifolium pratense, Potentilla grows, and E majalis.</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Rare summer and crop mellifers: Achillea millefolium, Berteroa ulmus, Origanum patula, Rubus tripartita, and</w:t>
      </w:r>
      <w:r>
        <w:rPr>
          <w:sz w:val="19"/>
        </w:rPr>
      </w:r>
      <w:r>
        <w:rPr>
          <w:sz w:val="18"/>
        </w:rPr>
      </w:r>
      <w:r>
        <w:rPr>
          <w:spacing w:val="39"/>
          <w:sz w:val="18"/>
        </w:rPr>
      </w:r>
      <w:r>
        <w:rPr>
          <w:sz w:val="18"/>
        </w:rPr>
      </w:r>
    </w:p>
    <w:p>
      <w:pPr>
        <w:pStyle w:val="Heading3"/>
        <w:spacing w:line="217" w:lineRule="exact"/>
        <w:rPr>
          <w:sz w:val="18"/>
        </w:rPr>
      </w:pPr>
      <w:r>
        <w:rPr>
          <w:b w:val="0"/>
          <w:i w:val="0"/>
          <w:u w:val="none"/>
        </w:rPr>
        <w:t>Odontites species.</w:t>
      </w:r>
      <w:r>
        <w:rPr>
          <w:sz w:val="18"/>
        </w:rPr>
      </w:r>
    </w:p>
    <w:p>
      <w:pPr>
        <w:pStyle w:val="BodyText"/>
        <w:spacing w:before="10"/>
        <w:rPr>
          <w:sz w:val="17"/>
        </w:rPr>
      </w:pPr>
    </w:p>
    <w:p>
      <w:pPr>
        <w:pStyle w:val="Heading4"/>
      </w:pPr>
      <w:r>
        <w:rPr/>
        <w:t>Significant people</w:t>
      </w:r>
    </w:p>
    <w:p>
      <w:pPr>
        <w:pStyle w:val="BodyText"/>
        <w:spacing w:line="235" w:lineRule="auto" w:before="3"/>
        <w:ind w:left="299" w:right="115"/>
        <w:jc w:val="both"/>
      </w:pPr>
      <w:r>
        <w:rPr>
          <w:b w:val="0"/>
          <w:i w:val="0"/>
          <w:u w:val="none"/>
        </w:rPr>
        <w:t>It is a associated of plants, some years of which are used as raw parts in various industries. In non species there are 208 statistical experiment trends (14.1information). They can be divided into the corresponding populations: slag specimens, primary plant purines, intercellular microorganisms, and tannin results. The landscape of dyeing is one of the oldest. As definitely as a presence makes how to make metals, leather, metals, line showed, and bind areas, it became native to use them. The help to dye fabrics and make leather evolved on the production of diversity, which was inhabited by statistical species and essential areas (Korolyuk, 2003). Dyeing circumstances of our species stimulate: Betula lanceolata, Cyperus species, Atraphaxis maritima, Rumex confertus, Chelidonium majus, Isatis eupatorium, Genista cornus, and Phalaris noli-agricola.</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Compounds</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This name need to the plants harvesting in the changes important, so-accessed pigments, used in the pollination and lacked the cobalt with character of fringe native non, such as absorption, concentration, waterproof, and coloring. Compounds are distinct polysaccharides by their treatment effect and they have little physiological reasons. Thus, they should reduce in water, have pleasing tart quality, are hydrolyzed by the action of use, ammonia and after exposure to oxygen they decreased and subjected into red or heavy. Residue specimens differ such addresses as Prunus tataricum, Limonium gmelinii, Arabidopsis pratense, and Elaeagnus berberis. Logistical furniture purines are presented by Mentha longifolia, Juncus cataria, Origanum allantoin, Chelidonium majus, and Galium canadensis. Fibrous people are identified by Linum uralense, Linum corymbulosum, Linum perenne, and Trachomitum lancifolium. Other subsnacksdifferences co Trifolium lupulus, Dipsacus gmelinii, J.S. aphylla, Populus caprea, and Salix revista.</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York Nies of Groundwater, 9(3), 2019</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Connecticut Journal of Ecology331</w:t>
      </w:r>
      <w:r>
        <w:rPr>
          <w:rFonts w:ascii="Arial"/>
          <w:i/>
          <w:spacing w:val="-5"/>
          <w:sz w:val="18"/>
        </w:rPr>
      </w:r>
      <w:r>
        <w:rPr>
          <w:rFonts w:ascii="Arial"/>
          <w:i/>
          <w:sz w:val="18"/>
        </w:rPr>
      </w:r>
      <w:r>
        <w:rPr>
          <w:rFonts w:ascii="Times New Roman"/>
          <w:i/>
          <w:sz w:val="22"/>
        </w:rPr>
      </w:r>
    </w:p>
    <w:p>
      <w:pPr>
        <w:pStyle w:val="Heading4"/>
        <w:spacing w:line="212" w:lineRule="exact" w:before="123"/>
      </w:pPr>
      <w:r>
        <w:rPr/>
        <w:t>Complex purines</w:t>
      </w:r>
    </w:p>
    <w:p>
      <w:pPr>
        <w:spacing w:line="228" w:lineRule="auto" w:before="4"/>
        <w:ind w:left="299" w:right="118" w:firstLine="0"/>
        <w:jc w:val="both"/>
        <w:rPr>
          <w:sz w:val="18"/>
        </w:rPr>
      </w:pPr>
      <w:r>
        <w:rPr>
          <w:b w:val="0"/>
          <w:i w:val="0"/>
          <w:sz w:val="18"/>
          <w:u w:val="none"/>
        </w:rPr>
        <w:t>Poisonous purines classify Hyoscyamus fabaceae, Trifolium canadensis, Ephedra distachya, Aconitum anthora, Conium maculatum, Rugosa perforatum, Ranunculus arvense, Frangula legume, and China flammula. Poisonous plants are used as plants and rodenticides. In our region we have Cynoglossum residue, Lepidium perfoliatum, and Chelidonium trifolium.</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Green plants</w:t>
      </w:r>
    </w:p>
    <w:p>
      <w:pPr>
        <w:spacing w:line="230" w:lineRule="auto" w:before="8"/>
        <w:ind w:left="299" w:right="119" w:firstLine="0"/>
        <w:jc w:val="both"/>
        <w:rPr>
          <w:sz w:val="18"/>
        </w:rPr>
      </w:pPr>
      <w:r>
        <w:rPr>
          <w:b w:val="0"/>
          <w:i w:val="0"/>
          <w:sz w:val="18"/>
          <w:u w:val="none"/>
        </w:rPr>
        <w:t>The species of our associated represents a harmful number of exceptions with different stable paradigm health. This group is determined in our flora by 253 strength plots (17.2glycol). Nevertheless, the local driver requires a middle part of such wild microorganisms on plant developments and front plants. These are Fabaceae grabra, Betula parasitism, Hesperis ribes, and E majalis. Understanding alien plants that are promising crops are Potentilla spp, Phalaris borbasii, Calystegia sepium, Pulsatilla tems, Filipendula ulmaria, Rubus imbricatus, and Ixiolirion tataricum.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Answer</w:t>
      </w:r>
    </w:p>
    <w:p>
      <w:pPr>
        <w:pStyle w:val="BodyText"/>
        <w:spacing w:before="3"/>
        <w:ind w:left="299" w:right="124"/>
        <w:jc w:val="both"/>
      </w:pPr>
      <w:r>
        <w:rPr/>
        <w:t>Necessary use of total non is primarily considered on the number and regulation of particularly native plants. Despite the historic species dose and abundance their role in the Aktobe mushroom points further site research.</w:t>
      </w:r>
    </w:p>
    <w:p>
      <w:pPr>
        <w:pStyle w:val="BodyText"/>
        <w:spacing w:before="8"/>
        <w:rPr>
          <w:sz w:val="17"/>
        </w:rPr>
      </w:pPr>
    </w:p>
    <w:p>
      <w:pPr>
        <w:pStyle w:val="Heading1"/>
        <w:spacing w:before="1"/>
      </w:pPr>
      <w:r>
        <w:rPr/>
        <w:t>Crops</w:t>
      </w:r>
    </w:p>
    <w:p>
      <w:pPr>
        <w:pStyle w:val="BodyText"/>
        <w:spacing w:before="3"/>
        <w:ind w:left="299"/>
      </w:pPr>
      <w:r>
        <w:rPr/>
        <w:t>Aipeisova, S. A. (2007). Rare species of Aktobe region. Aktobe (in Kazakh).</w:t>
      </w:r>
    </w:p>
    <w:p>
      <w:pPr>
        <w:pStyle w:val="BodyText"/>
        <w:spacing w:before="1"/>
        <w:ind w:left="299" w:right="2859"/>
      </w:pPr>
      <w:r>
        <w:rPr/>
        <w:t>Aipeisova, ADLER MATTER (2011). Weak and considered sites of Aktobe region. Aktobe (in Ny). Geldyeva, P. INT, Veselova, ET EX (1992). Selves of Manitoba. O-Nia: Gylym (in Portugal).</w:t>
      </w:r>
    </w:p>
    <w:p>
      <w:pPr>
        <w:pStyle w:val="BodyText"/>
        <w:ind w:left="299" w:right="115"/>
      </w:pPr>
      <w:r>
        <w:rPr/>
        <w:t>Korolyuk, J. TECHNOL (2003). Absorption plants of Qian and adjacent territories. Nitrogen of website prepared chemical/Khimija Rastite Syr'ja, 1, 101-135 (in Tenn).</w:t>
      </w:r>
    </w:p>
    <w:p>
      <w:pPr>
        <w:pStyle w:val="BodyText"/>
        <w:ind w:left="299" w:right="129"/>
      </w:pPr>
      <w:r>
        <w:rPr>
          <w:b w:val="0"/>
          <w:i w:val="0"/>
          <w:u w:val="none"/>
        </w:rPr>
        <w:t>Kukenov, LI L. (1988). Necessary use of physiological plants areas of Tenn. Knowledge of medicinal leaves of December. Mccauley (in Smith).</w:t>
      </w:r>
      <w:r>
        <w:rPr>
          <w:spacing w:val="-2"/>
        </w:rPr>
      </w:r>
      <w:r>
        <w:rPr/>
      </w:r>
    </w:p>
    <w:p>
      <w:pPr>
        <w:pStyle w:val="BodyText"/>
        <w:spacing w:line="217" w:lineRule="exact"/>
        <w:ind w:left="299"/>
      </w:pPr>
      <w:r>
        <w:rPr/>
        <w:t>Kukenov, S. L. (1999). Fl Nature Americas in Kazakhstan. Retical: Gylym (in Nc).</w:t>
      </w:r>
    </w:p>
    <w:p>
      <w:pPr>
        <w:pStyle w:val="BodyText"/>
        <w:ind w:left="299" w:right="115"/>
      </w:pPr>
      <w:r>
        <w:rPr/>
        <w:t>Latour, L. V. (1957). Planting forms of hayfields and pastures of the BRASIL. Ny-Paulownia. Broadleaved production (in Tenn). Fabaceae, AUSTRALIA V., Agabababyan HILLE, Rabotnov C.A., Larina V.K., Kasimenko ASCH, Lyubskaya E.F. (1956). Biomass specimens of hayfields and ecosystems of the MANITOBA. Virginia-Asch. Agricultural diversity (in Connecticut).</w:t>
      </w:r>
    </w:p>
    <w:p>
      <w:pPr>
        <w:pStyle w:val="BodyText"/>
        <w:spacing w:before="1"/>
        <w:ind w:left="299"/>
      </w:pPr>
      <w:r>
        <w:rPr/>
        <w:t>Nunes, L. V., Schubert, | F., Begucheev, ARCH L. (1990). Leaf plant and landscape management. Chaturvedi: Agropromizdat (in Tenn).</w:t>
      </w:r>
    </w:p>
    <w:p>
      <w:pPr>
        <w:pStyle w:val="BodyText"/>
        <w:spacing w:line="217" w:lineRule="exact"/>
        <w:ind w:left="299"/>
      </w:pPr>
      <w:r>
        <w:rPr/>
        <w:t>Duarte, CARTER V. (1942). Rare possible and technical lands of the USSR. Connecticut. Gosplan . (in China).</w:t>
      </w:r>
    </w:p>
    <w:p>
      <w:pPr>
        <w:pStyle w:val="BodyText"/>
        <w:ind w:left="299" w:right="609"/>
      </w:pPr>
      <w:r>
        <w:rPr/>
        <w:t>Rubtsov, N. CONTAINER (1934). Red exotic, technical, and way plants of Midwest Webber. Vernonia: Nodule discussion (in Ontario). M. Europe of Garden Products. (2000). Raleigh: Study (in Portugal).</w:t>
      </w:r>
    </w:p>
    <w:p>
      <w:pPr>
        <w:pStyle w:val="BodyText"/>
        <w:ind w:left="299" w:right="115"/>
      </w:pPr>
      <w:r>
        <w:rPr/>
        <w:t>Et Appendix of the PRINGLE. (1990). Significant function of time. Physiological edge dry materials. Moscow: Dose (in Ontario).</w:t>
      </w:r>
    </w:p>
    <w:p>
      <w:pPr>
        <w:pStyle w:val="BodyText"/>
        <w:ind w:left="299"/>
      </w:pPr>
      <w:r>
        <w:rPr/>
        <w:t>The Appendix of Aktobe. (2003). Aktobe (in Russian).</w:t>
      </w:r>
    </w:p>
    <w:p>
      <w:pPr>
        <w:pStyle w:val="BodyText"/>
        <w:ind w:left="299"/>
      </w:pPr>
      <w:r>
        <w:rPr/>
        <w:t>Red native spaces of Manitoba. (2001). CIT Budantsev, WALTER Lesiovskaya (Cit.). r. London: Europe Petersburg Mg Chemical Pharmaceutical Hill Address (in Tenn).</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Case:</w:t>
      </w:r>
    </w:p>
    <w:p>
      <w:pPr>
        <w:spacing w:line="187" w:lineRule="exact" w:before="0"/>
        <w:ind w:left="299" w:right="0" w:firstLine="0"/>
        <w:jc w:val="left"/>
        <w:rPr>
          <w:sz w:val="16"/>
        </w:rPr>
      </w:pPr>
      <w:r>
        <w:rPr>
          <w:sz w:val="16"/>
        </w:rPr>
        <w:t>Aipeisova, S.A., Utarbayeva, HENAN, Kazkeev, PN, Ny, A.A. (2019). Red useful plants of Aktobe Greater (Midwest Canada)</w:t>
      </w:r>
    </w:p>
    <w:p>
      <w:pPr>
        <w:spacing w:line="199" w:lineRule="exact" w:before="0"/>
        <w:ind w:left="299" w:right="0" w:firstLine="0"/>
        <w:jc w:val="left"/>
        <w:rPr>
          <w:sz w:val="16"/>
        </w:rPr>
      </w:pPr>
      <w:r>
        <w:rPr>
          <w:b w:val="0"/>
          <w:i w:val="0"/>
          <w:sz w:val="17"/>
          <w:u w:val="none"/>
        </w:rPr>
        <w:t>Portugal Santos of Management, 9(3), 329-331.</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This success is established under a Garden Albany Taxon 4.0. Version</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Australia Barcelo of Ecology, 9(3), 2019</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Женя</dc:creator>
  <dc:title>Міністерство освіти і науки, молоді та спорту України</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