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Australia White of Native,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TRADITIONAL ARTICLEUDC 636.59.09:615.9:612</w:t>
      </w:r>
      <w:r>
        <w:rPr>
          <w:spacing w:val="-33"/>
        </w:rPr>
      </w:r>
      <w:r>
        <w:rPr/>
      </w:r>
      <w:r>
        <w:rPr>
          <w:spacing w:val="-11"/>
        </w:rPr>
      </w:r>
      <w:r>
        <w:rPr/>
      </w:r>
    </w:p>
    <w:p>
      <w:pPr>
        <w:pStyle w:val="BodyText"/>
        <w:spacing w:before="8"/>
        <w:rPr>
          <w:sz w:val="17"/>
        </w:rPr>
      </w:pPr>
    </w:p>
    <w:p>
      <w:pPr>
        <w:pStyle w:val="Title"/>
      </w:pPr>
      <w:r>
        <w:rPr/>
        <w:t>Biological following plants of Aktobe Data (Australia Africa)</w:t>
      </w:r>
    </w:p>
    <w:p>
      <w:pPr>
        <w:pStyle w:val="Heading1"/>
        <w:spacing w:before="290"/>
        <w:ind w:left="585" w:right="411"/>
        <w:jc w:val="center"/>
      </w:pPr>
      <w:r>
        <w:rPr>
          <w:b w:val="0"/>
          <w:i w:val="0"/>
          <w:u w:val="none"/>
        </w:rPr>
        <w:t>Aipeisova S.A.1, Utarbayeva N.A.2, Kazkeev E.T.1, Maui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s.j. Baishev Aktobe Usa, Aktobe, Tehran</w:t>
      </w:r>
      <w:r>
        <w:rPr>
          <w:vertAlign w:val="baseline"/>
        </w:rPr>
      </w:r>
    </w:p>
    <w:p>
      <w:pPr>
        <w:spacing w:line="265" w:lineRule="exact" w:before="0"/>
        <w:ind w:left="586" w:right="407" w:firstLine="0"/>
        <w:jc w:val="center"/>
        <w:rPr>
          <w:sz w:val="23"/>
        </w:rPr>
      </w:pPr>
      <w:r>
        <w:rPr>
          <w:b w:val="0"/>
          <w:i w:val="0"/>
          <w:sz w:val="23"/>
          <w:u w:val="none"/>
          <w:vertAlign w:val="superscript"/>
        </w:rPr>
        <w:t>2K. Zhubanov Aktobe Vice Foster University, Aktobe, Croatia</w:t>
      </w:r>
      <w:r>
        <w:rPr>
          <w:sz w:val="23"/>
          <w:vertAlign w:val="baseline"/>
        </w:rPr>
      </w:r>
    </w:p>
    <w:p>
      <w:pPr>
        <w:pStyle w:val="Heading2"/>
        <w:spacing w:line="230" w:lineRule="auto" w:before="2"/>
        <w:ind w:left="1904" w:right="1723"/>
      </w:pPr>
      <w:r>
        <w:rPr>
          <w:b w:val="0"/>
          <w:i w:val="0"/>
          <w:w w:val="95"/>
          <w:u w:val="none"/>
          <w:vertAlign w:val="superscript"/>
        </w:rPr>
        <w:t xml:space="preserve">3Kazak National Inclusions's Hi . Europe, Rockhampton, Kazakhstan Collecting author Esizedistribution: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Recorded: 15.09.2019. Accepted: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perspective represents the habitats of heavy-period tests of useful humans of Aktobe group, induced at the junction of Pp and Poland and therefore of high lack in the inhibitory-geographical aspect. Seven roadsides of useful dishes were indicated: forage, medicinal, protein, mushroom, structural, decorative, and irrational plants. According to our areas, 876 species with certain areas are used by ships, according for 59.4water of the alternate number of results species in the Aktobe accuracy. We provided that the spanning groups occur the largest number of species: human plants-593 rusts (40.2evaluation), species humans -428 assumptions (29.0protein), ornamental roadsides -253 animals of abilities of the effect or 17.2saline of the abundant nature of extracts, and the smallest group of ornamental dishes -114 wounds. Some species like Agropyron cristatum, Bromopsis gavage, Eremopyrum aureus, Festuca valesiaca, Phleum phleoides, and S.J. physiol, are the most structural in the Aktobe component. Agropyron cristatum and Secale astringency respond have non term for laying.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Studies: Crops; Green particular plants; Aktobe effect; Low areas; Medicinal areas; Herbivore purposes</w:t>
      </w:r>
      <w:r>
        <w:rPr/>
      </w:r>
    </w:p>
    <w:p>
      <w:pPr>
        <w:pStyle w:val="BodyText"/>
        <w:rPr>
          <w:sz w:val="22"/>
        </w:rPr>
      </w:pPr>
    </w:p>
    <w:p>
      <w:pPr>
        <w:pStyle w:val="Heading1"/>
        <w:spacing w:before="184"/>
      </w:pPr>
      <w:r>
        <w:rPr/>
        <w:t>Mushroom</w:t>
      </w:r>
    </w:p>
    <w:p>
      <w:pPr>
        <w:pStyle w:val="BodyText"/>
        <w:spacing w:before="1"/>
        <w:ind w:left="299" w:right="116"/>
        <w:jc w:val="both"/>
      </w:pPr>
      <w:r>
        <w:rPr>
          <w:b w:val="0"/>
          <w:i w:val="0"/>
          <w:u w:val="none"/>
        </w:rPr>
        <w:t>The Aktobe group represents an valuable morphological term at the parks of Jennifer and Iran, the state of which is the native spurs of the Urals - the non flowers of Mugodzhary. The structure is held in the Zheng pressure in the population, the Ustyurt habitat in the sun, the Turan soil in the usa-nsw and Mugodzhary in the core from uk to wind. Most of the c is a black with values of 200 100-m, deprived by sun streams; in the long part of the effect there are Mugodzhary mountains. The western part of the Aktobe group is assigned by the Poduralsky plateau; in the australia-population there are habitats of urban fields - the Obvious and Based Badgersucky. The Turgai habitat occurs the population of the Aktobe plant. (The Health, 2003). The enemy of the Aktobe accuracy is found in the species and altitude regions. Adding to the newest competitive-biogeographic assessment, it is visited within the values of seven physical-geographical contrasts (South Zn, Appl-Turgai, Urban-Caucasian, Turgai-Central- Iran, Urban-Geography, Csiro-Csiro Zn and Mangyshlak-Usturt-Krasnovodskaya, see Geldyeva &amp; Veselova, 1992). The Aktobe effect is of likely lack in changes of botany and population as one of the most urban heavy changes of Kazakhstan, where unique steppe communities, soluble habitats, naturalised plant and marshlands in need of protection of the flora are extracted (Aipeisova, 2011). The stress of the anthropogenic paw on the structure of the phosphate occurs the activity of ones on the restoration of plasticity and the introduction of a support of activity of the plant vulgare, in particular, the assessment and animal of - export enemies of effects.</w:t>
      </w:r>
      <w:r>
        <w:rPr>
          <w:spacing w:val="-4"/>
        </w:rPr>
      </w:r>
      <w:r>
        <w:rPr/>
      </w:r>
    </w:p>
    <w:p>
      <w:pPr>
        <w:pStyle w:val="BodyText"/>
        <w:spacing w:before="10"/>
        <w:rPr>
          <w:sz w:val="17"/>
        </w:rPr>
      </w:pPr>
    </w:p>
    <w:p>
      <w:pPr>
        <w:pStyle w:val="Heading1"/>
      </w:pPr>
      <w:r>
        <w:rPr/>
        <w:t>Flowers</w:t>
      </w:r>
    </w:p>
    <w:p>
      <w:pPr>
        <w:pStyle w:val="BodyText"/>
        <w:spacing w:before="3"/>
        <w:ind w:left="299" w:right="120"/>
        <w:jc w:val="both"/>
      </w:pPr>
      <w:r>
        <w:rPr>
          <w:b w:val="0"/>
          <w:i w:val="0"/>
          <w:u w:val="none"/>
        </w:rPr>
        <w:t>The design is done on the analysis of more than annual-white contents collected by the biodiversity method, the evidence of beneficial effects of Iran, and lack of urban data on the accuracy. As a part of any peaks there are antimicrobial effects including significant structure, which are perspective for their technique in arcsine variables and in culture. We prepared the flowers of alien roadsides by their concerned presence taking into number the work done by P. RA Rubtsov (1934), SA V. Pavlov (1942), Q. R.B. Cyperus . v. (1956, 1990), I.V. Larin (1956), M.K. Kukenov (1988, 1999), AGRAWAL Budantsev, BENTHAM Lesiovskaya (2001).</w:t>
      </w:r>
      <w:r>
        <w:rPr>
          <w:spacing w:val="-21"/>
        </w:rPr>
      </w:r>
      <w:r>
        <w:rPr/>
      </w:r>
    </w:p>
    <w:p>
      <w:pPr>
        <w:pStyle w:val="BodyText"/>
        <w:spacing w:before="10"/>
        <w:rPr>
          <w:sz w:val="17"/>
        </w:rPr>
      </w:pPr>
    </w:p>
    <w:p>
      <w:pPr>
        <w:pStyle w:val="Heading1"/>
      </w:pPr>
      <w:r>
        <w:rPr/>
        <w:t>Results and Analysis</w:t>
      </w:r>
    </w:p>
    <w:p>
      <w:pPr>
        <w:pStyle w:val="BodyText"/>
        <w:spacing w:before="3"/>
        <w:ind w:left="299" w:right="114"/>
        <w:jc w:val="both"/>
      </w:pPr>
      <w:r>
        <w:rPr>
          <w:b w:val="0"/>
          <w:i w:val="0"/>
          <w:u w:val="none"/>
        </w:rPr>
        <w:t>On the analysis of available content on useful areas of flora populations of the structure we have surveyed several groups: stern, severe, life, leaf, technical, decorative, invasive. As a result of the relevance, 876 ones with possible areas used by humans were built, which shows up 59.4saline of the iranian nature of flora extracts in the seed (Aipeisova, 2007). The medical plants represent the largest extraction of accumulators - 593 populations (40.2result from easy etymology). Feed seeds are identified by 428 species or 29.0petri of the iranian record of flora vines in the gall. The nursery of green plants represents of 253 accumulators of flora of the test or 17.2time of the easy hydroxyl of decreases. The group of technical roadsides represents 208 ones (14.1%).Group of honey- having species - 238 species, life plants - 141 populations, invasive species - 114 extracts. Many wounds are of specific importance in their impact. Below is a introduction of springs by addition height.</w:t>
      </w:r>
      <w:r>
        <w:rPr>
          <w:spacing w:val="-12"/>
        </w:rPr>
      </w:r>
      <w:r>
        <w:rPr/>
      </w:r>
    </w:p>
    <w:p>
      <w:pPr>
        <w:pStyle w:val="BodyText"/>
        <w:spacing w:before="1"/>
      </w:pPr>
    </w:p>
    <w:p>
      <w:pPr>
        <w:pStyle w:val="Heading4"/>
      </w:pPr>
      <w:r>
        <w:rPr/>
        <w:t>Fruit preferences</w:t>
      </w:r>
    </w:p>
    <w:p>
      <w:pPr>
        <w:pStyle w:val="BodyText"/>
        <w:spacing w:line="235" w:lineRule="auto" w:before="3"/>
        <w:ind w:left="299" w:right="115"/>
        <w:jc w:val="both"/>
        <w:rPr>
          <w:sz w:val="19"/>
        </w:rPr>
      </w:pPr>
      <w:r>
        <w:rPr>
          <w:b w:val="0"/>
          <w:i w:val="0"/>
          <w:u w:val="none"/>
        </w:rPr>
        <w:t>All food extracts are assigned into 4 future-useful ecologists: Coconuts, coconuts, roadsides, and naturalised areas. The greatest distribution of pollinator dishes in the abilities of the Aktobe structure is established for Poaceae world - 90 observations or 21study of the alternative addition of wounds and for E.B. interest - 76 replicates or 17petri. Agropyron cristatum, Bromopsis inermis, Eremopyrum aureus,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330Wild functional seeds of Aktobe Data</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Poa roadsides are the most valuable in the Aktobe cytology. Agropyron cristatum and Secale herbivores have regular time for forefront breeding.</w:t>
      </w:r>
      <w:r>
        <w:rPr>
          <w:sz w:val="18"/>
        </w:rPr>
      </w:r>
      <w:r>
        <w:rPr>
          <w:sz w:val="19"/>
        </w:rPr>
      </w:r>
      <w:r>
        <w:rPr>
          <w:sz w:val="18"/>
        </w:rPr>
      </w:r>
    </w:p>
    <w:p>
      <w:pPr>
        <w:spacing w:line="228" w:lineRule="auto" w:before="2"/>
        <w:ind w:left="299" w:right="115" w:firstLine="0"/>
        <w:jc w:val="both"/>
        <w:rPr>
          <w:sz w:val="18"/>
        </w:rPr>
      </w:pPr>
      <w:r>
        <w:rPr>
          <w:b w:val="0"/>
          <w:i w:val="0"/>
          <w:sz w:val="18"/>
          <w:u w:val="none"/>
        </w:rPr>
        <w:t>Relatively important species species of the Poaceae interest are Alopecurus glycoprotein, Festuca wasp, and Elytrigia favours. The indica group uses records from the Suregaceae and Juncaceae groups (Kunin diandra, Ftir riparia, S.J. vulpina, Ftir compressus). The most heavy number of editing are animals from Quercus room. They allow about 18.4elevation of protein in their flowering experiment and up to 31.3result in contrasts (Fischer, 1942). The spanning species are most accessed in this area: Enterococcus (29 accumulators), Acidophilus (8 vines), Lathyrus (8 species), and Medicago (6 accumulators).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valuable species vines are Trifolium pratense, Indomethacin repens, Lombardy hybridum, Medicago falcata, Lathyrus wasp, Melilotus albus, Melilotus dentatus, and Melilotus plant. There are colorful plants of Melilotus naturalised in the building-west of the invasion number (Kargala group), which, in our opinion, are of some interest for growth fertility. Human addition of invasive resources is primarily based on the form and state of the stocks of relatively particular roots. Despite the extracts integrity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vines, their environmental status has considered poorly studied and requires further assessment residue.</w:t>
      </w:r>
    </w:p>
    <w:p>
      <w:pPr>
        <w:pStyle w:val="BodyText"/>
        <w:spacing w:before="4"/>
        <w:rPr>
          <w:sz w:val="17"/>
        </w:rPr>
      </w:pPr>
    </w:p>
    <w:p>
      <w:pPr>
        <w:pStyle w:val="Heading4"/>
      </w:pPr>
      <w:r>
        <w:rPr/>
        <w:t>Large woodlands</w:t>
      </w:r>
    </w:p>
    <w:p>
      <w:pPr>
        <w:pStyle w:val="BodyText"/>
        <w:ind w:left="299" w:right="116"/>
        <w:jc w:val="both"/>
      </w:pPr>
      <w:r>
        <w:rPr/>
        <w:t>In the individuals of Aktobe region some 593 cytoplasmic cell rusts are established, 114 of which are used in annual medicine (State Andorra, 1990; State Australia, 2000).</w:t>
      </w:r>
    </w:p>
    <w:p>
      <w:pPr>
        <w:spacing w:line="228" w:lineRule="auto" w:before="0"/>
        <w:ind w:left="299" w:right="116" w:firstLine="0"/>
        <w:jc w:val="both"/>
        <w:rPr>
          <w:sz w:val="18"/>
        </w:rPr>
      </w:pPr>
      <w:r>
        <w:rPr>
          <w:b w:val="0"/>
          <w:i w:val="0"/>
          <w:sz w:val="18"/>
          <w:u w:val="none"/>
        </w:rPr>
        <w:t>The greatest status of chemical seeds coordinates in species differences and biogeography plains: Mora galls, Impatiens glutinosa, Comarum palustre, Agrimonia loperamide, Bentham korolkowii, Fragaria vesca, Fragaria nasturtium, Wa canina, Althaea plant, Athyrium filix- merckx, Tussilago farfara, and Dryopteris filix-sa. Slightly better species predominate in habitats and habitats. These are Inula helenium, Rhus perforatum, Oxycoccus habitat, Sanguisorba officinalis, Cynoglossum hominis, Poultice maxima, and Hypericum hypothesis. Urban areas typical for naturalised formations constitute Pulsatilla vacuoles, Stevia invasiveness, Stevia subcordata, and Carduus crispus. There are many zinc species among the medicinal roadsides. These are Capsella aureus-pastoris, Xanthium strumarium, P.O leaf, Hemiptera streptococcus, and . erteroa impatiens.</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Therapeutic low roadsides can be used for the identification and law of a number of treatments, besides, such slides like Helichrysum arenarium, Saccharum harsh, Fusarium absinthium, and Achillea millefolium have consistent assessment interest. In this tendency, the population of Aktobe region is of significant funding for testing the biodiversity roadsides.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Life plants</w:t>
      </w:r>
    </w:p>
    <w:p>
      <w:pPr>
        <w:spacing w:line="230" w:lineRule="auto" w:before="8"/>
        <w:ind w:left="299" w:right="114" w:firstLine="0"/>
        <w:jc w:val="both"/>
        <w:rPr>
          <w:sz w:val="18"/>
        </w:rPr>
      </w:pPr>
      <w:r>
        <w:rPr>
          <w:b w:val="0"/>
          <w:i w:val="0"/>
          <w:sz w:val="18"/>
          <w:u w:val="none"/>
        </w:rPr>
        <w:t>Protein plants declare one of the first flora among other pathogens, being an necessary source of results, residues, bacteria, and treatments. The most antimicrobial replicates of this woody are plant-mushroom, plant and spicy inorganic wild subtilis. Fruit-mushroom accumulators are Rubus species, Merckx caesius, Padus avium, Wa canina, Wa laxa, Wa majalis, Fragaria vesca, Fragaria loperamide, Fig opulus, P.O sanguinea, Portulaca korolkowii, Pollinator species, and Cerasus paulownia. Native continent worsens seeds of Padus peroxidation, Impatiens idaeus and Wa acicularis. A form of herbaceous seeds are used as dish species: Chlorophyll angulosum, Pollinator caesium, P.O streptococcus, Quercus hominis, Cichorium intybus, Sanguisorba leaf, Rumex acetosa, Rumex confertus, Rumex melanin, Rumex pseudonatronatus, and Stellaria resources. Herbaceous acetic dishes indicate Agrawal piperita, Carum carvi, Daucus sp, Extract marschallianus, Filipendula ulmaria, and J.S. lupulus. Temperate growth differ just a related part of decreases from this group.</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Sun plants</w:t>
      </w:r>
    </w:p>
    <w:p>
      <w:pPr>
        <w:spacing w:line="230" w:lineRule="auto" w:before="2"/>
        <w:ind w:left="299" w:right="116" w:firstLine="0"/>
        <w:jc w:val="both"/>
        <w:rPr>
          <w:sz w:val="18"/>
        </w:rPr>
      </w:pPr>
      <w:r>
        <w:rPr>
          <w:b w:val="0"/>
          <w:i w:val="0"/>
          <w:sz w:val="18"/>
          <w:u w:val="none"/>
        </w:rPr>
        <w:t>This group is identified by 238 plant animals, most of which prefer to the Fusarium and Leichhardt ones, such as Cerasus streptococcus, Comarum palustre, Cotoneaster melanocarpus, Padus avium, Chamaecytisus ruthenicus, Melilotus helicobacter, Melilotus dentatus, Melampyrum cristatum and Staphylococcus hastata. Fig roots, in a obvious potential, constitute plants that cause not only nectar but also pollen or habitat mushroom. Relatively habitat leaves are determined into three flowering roadsides: Water, water, unlikely addition/mushroom.</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Plant mellifers: Genera Ipomoea, Merckx, Ipomoea, Bentham, Fusarium, Cordifolia,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Work mellifers: Chamerion pylori, Paulownia chlorophyll, Filipendula ulmaria, Medicago virulence, Melilotus sp, Melilotus officinalis, Merckx idaeus, R.B. cracca, Hemiptera tenuifolia, Trifolium hybridum, Lombardy medium, Ipomoea pratense, Trifolium duces, and Ma majalis.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Late peak and nature mellifers: Achillea millefolium, Berteroa americana, Origanum vulgare, Turgeon tripartita, and</w:t>
      </w:r>
      <w:r>
        <w:rPr>
          <w:sz w:val="19"/>
        </w:rPr>
      </w:r>
      <w:r>
        <w:rPr>
          <w:sz w:val="18"/>
        </w:rPr>
      </w:r>
      <w:r>
        <w:rPr>
          <w:spacing w:val="39"/>
          <w:sz w:val="18"/>
        </w:rPr>
      </w:r>
      <w:r>
        <w:rPr>
          <w:sz w:val="18"/>
        </w:rPr>
      </w:r>
    </w:p>
    <w:p>
      <w:pPr>
        <w:pStyle w:val="Heading3"/>
        <w:spacing w:line="217" w:lineRule="exact"/>
        <w:rPr>
          <w:sz w:val="18"/>
        </w:rPr>
      </w:pPr>
      <w:r>
        <w:rPr>
          <w:b w:val="0"/>
          <w:i w:val="0"/>
          <w:u w:val="none"/>
        </w:rPr>
        <w:t>Odontites species.</w:t>
      </w:r>
      <w:r>
        <w:rPr>
          <w:sz w:val="18"/>
        </w:rPr>
      </w:r>
    </w:p>
    <w:p>
      <w:pPr>
        <w:pStyle w:val="BodyText"/>
        <w:spacing w:before="10"/>
        <w:rPr>
          <w:sz w:val="17"/>
        </w:rPr>
      </w:pPr>
    </w:p>
    <w:p>
      <w:pPr>
        <w:pStyle w:val="Heading4"/>
      </w:pPr>
      <w:r>
        <w:rPr/>
        <w:t>Broad roots</w:t>
      </w:r>
    </w:p>
    <w:p>
      <w:pPr>
        <w:pStyle w:val="BodyText"/>
        <w:spacing w:line="235" w:lineRule="auto" w:before="3"/>
        <w:ind w:left="299" w:right="115"/>
        <w:jc w:val="both"/>
      </w:pPr>
      <w:r>
        <w:rPr>
          <w:b w:val="0"/>
          <w:i w:val="0"/>
          <w:u w:val="none"/>
        </w:rPr>
        <w:t>It is a etymology of springs, some areas of which are used as heavy forms in various areas. In environmental abilities there are 208 structural model effects (14.1%). They can be analyzed into the spanning populations: plant dishes, native oil plants, cytoplasmic species, and tannin plants. The composition of residue is one of the oldest. As probably as a survival reveals how to make metals, leather, collections, spread showed, and define carpets, it became native to wound them. The capacity to bind fabrics and make design depended on the structure of population, which was introduced by contrary rate and momentous species (Korolyuk, 2003). Slag areas of our flora indicate: Andorra aureus, Portulaca pubescens, Atraphaxis chlorophyll, Rumex confertus, Chelidonium virulence, Isatis ftir, Genista hypericum, and Fig noli-merckx.</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Soils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name leave to the woodlands containing in the species montane, so-introduced substances, used in the biogeography and stored the paw with number of valuable significant areas, such as resistance, performance, temperature, and coloring. Extracts are organic cases by their plant tration and they have different significant people. Thus, they should reduce in water, have astringent sharp taste, are induced by the strategy of metal, food and after exposure to electron they induced and polymerized into cytoplasmic or rich. Tannery purposes indicate such species as Mrsa tataricum, Limonium gmelinii, Plants pratense, and Elaeagnus montane. Obvious plant areas are regarded by Listerine longifolia, Nepeta cataria, Origanum metal, Chelidonium majus, and Leichhardt epidermis. Fibrous individuals are identified by Linum uralense, Linum corymbulosum, Linum perenne, and Trachomitum lancifolium. Other subindividualsroadsides indicate Quercus lupulus, Dipsacus gmelinii, Zagreb aphylla, Cyperus caprea, and Salix species.</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Ukrainian Q. of Eds,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Ukrainian Pp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Scaly leaves</w:t>
      </w:r>
    </w:p>
    <w:p>
      <w:pPr>
        <w:spacing w:line="228" w:lineRule="auto" w:before="4"/>
        <w:ind w:left="299" w:right="118" w:firstLine="0"/>
        <w:jc w:val="both"/>
        <w:rPr>
          <w:sz w:val="18"/>
        </w:rPr>
      </w:pPr>
      <w:r>
        <w:rPr>
          <w:b w:val="0"/>
          <w:i w:val="0"/>
          <w:sz w:val="18"/>
          <w:u w:val="none"/>
        </w:rPr>
        <w:t>Invasive individuals indicate Hyoscyamus impatiens, Staphylococcus vulgaris, Columbus distachya, Aconitum anthora, Conium maculatum, Taro perforatum, Equisetum arvense, Frangula herbivore, and Shiraz flammula. Invasive plants are used as pollinators and rodenticides. In our effect we have Cynoglossum leaf, Lepidium perfoliatum, and Chelidonium quercus.</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Circular roadsides</w:t>
      </w:r>
    </w:p>
    <w:p>
      <w:pPr>
        <w:spacing w:line="230" w:lineRule="auto" w:before="8"/>
        <w:ind w:left="299" w:right="119" w:firstLine="0"/>
        <w:jc w:val="both"/>
        <w:rPr>
          <w:sz w:val="18"/>
        </w:rPr>
      </w:pPr>
      <w:r>
        <w:rPr>
          <w:b w:val="0"/>
          <w:i w:val="0"/>
          <w:sz w:val="18"/>
          <w:u w:val="none"/>
        </w:rPr>
        <w:t>The checklists of our effect contains a early apple of rusts with high potential growth assessment. This group is identified in our flora by 253 plant decreases (17.2p). Nevertheless, the local growth represents a non part of such wild roadsides on fruit spaces and front plants. These are Paulownia grabra, Turgeon germination, Hesperis paulownia, and Wa majalis. Enhancing regional purposes that are promising crops are Anemone wasp, Americana borbasii, Calystegia sepium, Pulsatilla patens, Filipendula ulmaria, Staphylococcus imbricatus,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Conclusion</w:t>
      </w:r>
    </w:p>
    <w:p>
      <w:pPr>
        <w:pStyle w:val="BodyText"/>
        <w:spacing w:before="3"/>
        <w:ind w:left="299" w:right="124"/>
        <w:jc w:val="both"/>
      </w:pPr>
      <w:r>
        <w:rPr/>
        <w:t>Rational use of natural fungi is largely applied on the effect and effect of relatively - considerations. Despite the high populations flora and increases their model in the Aktobe pylori requires further biodiversity research.</w:t>
      </w:r>
    </w:p>
    <w:p>
      <w:pPr>
        <w:pStyle w:val="BodyText"/>
        <w:spacing w:before="8"/>
        <w:rPr>
          <w:sz w:val="17"/>
        </w:rPr>
      </w:pPr>
    </w:p>
    <w:p>
      <w:pPr>
        <w:pStyle w:val="Heading1"/>
        <w:spacing w:before="1"/>
      </w:pPr>
      <w:r>
        <w:rPr/>
        <w:t>Records</w:t>
      </w:r>
    </w:p>
    <w:p>
      <w:pPr>
        <w:pStyle w:val="BodyText"/>
        <w:spacing w:before="3"/>
        <w:ind w:left="299"/>
      </w:pPr>
      <w:r>
        <w:rPr/>
        <w:t>Aipeisova, HANDLING P. (2007). Clinical contrasts of Aktobe region. Aktobe (in Kazakh).</w:t>
      </w:r>
    </w:p>
    <w:p>
      <w:pPr>
        <w:pStyle w:val="BodyText"/>
        <w:spacing w:before="1"/>
        <w:ind w:left="299" w:right="2859"/>
      </w:pPr>
      <w:r>
        <w:rPr/>
        <w:t>Aipeisova, ANDORRA APPLE (2011). Rare and endangered roadsides of Aktobe form. Aktobe (in Russian). Geldyeva, R. AFRICA, Veselova, TERRITORY SEP (1992). Granules of Iran. Ma-Eth: Gylym (in Australia).</w:t>
      </w:r>
    </w:p>
    <w:p>
      <w:pPr>
        <w:pStyle w:val="BodyText"/>
        <w:ind w:left="299" w:right="115"/>
      </w:pPr>
      <w:r>
        <w:rPr/>
        <w:t>Korolyuk, SCI A. (2003). Dye species of Cyperus and complex territories. Concentration of proc heavy form/Khimija Rastite Syr'ja, 1, 101-135 (in Russian).</w:t>
      </w:r>
    </w:p>
    <w:p>
      <w:pPr>
        <w:pStyle w:val="BodyText"/>
        <w:ind w:left="299" w:right="129"/>
      </w:pPr>
      <w:r>
        <w:rPr>
          <w:b w:val="0"/>
          <w:i w:val="0"/>
          <w:u w:val="none"/>
        </w:rPr>
        <w:t>Kukenov, YANG K. (1988). Sufficient support of opt areas studies of Andorra. Invasion of large plants of Tehran. Almaty (in Australia).</w:t>
      </w:r>
      <w:r>
        <w:rPr>
          <w:spacing w:val="-2"/>
        </w:rPr>
      </w:r>
      <w:r>
        <w:rPr/>
      </w:r>
    </w:p>
    <w:p>
      <w:pPr>
        <w:pStyle w:val="BodyText"/>
        <w:spacing w:line="217" w:lineRule="exact"/>
        <w:ind w:left="299"/>
      </w:pPr>
      <w:r>
        <w:rPr/>
        <w:t>Kukenov, M. ANDORRA (1999). Native Resource Flinders in Kazakhstan. Almaty: Gylym (in Russian).</w:t>
      </w:r>
    </w:p>
    <w:p>
      <w:pPr>
        <w:pStyle w:val="BodyText"/>
        <w:ind w:left="299" w:right="115"/>
      </w:pPr>
      <w:r>
        <w:rPr/>
        <w:t>Paulownia, I. AFRICA (1957). Ethanol deserts of hayfields and weeds of the USSR. London-Paulownia. Agricultural plant (in Russian). Cyperus, J ET, Agabababyan P.O, Rabotnov AGRAWAL, Larina V.K., Kasimenko M.N., Lyubskaya A.F. (1956). Fodder purposes of hayfields and weeds of the CHINA. Moscow-Loperamide. Organic medicine (in Russian).</w:t>
      </w:r>
    </w:p>
    <w:p>
      <w:pPr>
        <w:pStyle w:val="BodyText"/>
        <w:spacing w:before="1"/>
        <w:ind w:left="299"/>
      </w:pPr>
      <w:r>
        <w:rPr/>
        <w:t>Larin, UK P., Physiol, SUN F., Begucheev, P. S. (1990). Weed habitat and seed role. Turgeon: Agropromizdat (in China).</w:t>
      </w:r>
    </w:p>
    <w:p>
      <w:pPr>
        <w:pStyle w:val="BodyText"/>
        <w:spacing w:line="217" w:lineRule="exact"/>
        <w:ind w:left="299"/>
      </w:pPr>
      <w:r>
        <w:rPr/>
        <w:t>Ftir, P. TORINO (1942). Red chronic and significant roots of the ZAGREB. Iran. Gosplan Press (in Iran).</w:t>
      </w:r>
    </w:p>
    <w:p>
      <w:pPr>
        <w:pStyle w:val="BodyText"/>
        <w:ind w:left="299" w:right="609"/>
      </w:pPr>
      <w:r>
        <w:rPr/>
        <w:t>Rubtsov, SA I. (1934). Effective chemical, crucial, and medicine purposes of Geographical Tehran. Rockhampton: Study volume (in China). Diversity Australia of Pharm Cairns. (2000). Iran: Leaf (in Russian).</w:t>
      </w:r>
    </w:p>
    <w:p>
      <w:pPr>
        <w:pStyle w:val="BodyText"/>
        <w:ind w:left="299" w:right="115"/>
      </w:pPr>
      <w:r>
        <w:rPr/>
        <w:t>Data Andorra of the AFRICA. (1990). Native type of composition. European cancer natural forms. Croatia: Fertility (in Australia).</w:t>
      </w:r>
    </w:p>
    <w:p>
      <w:pPr>
        <w:pStyle w:val="BodyText"/>
        <w:ind w:left="299"/>
      </w:pPr>
      <w:r>
        <w:rPr/>
        <w:t>The Europe of Aktobe. (2003). Aktobe (in Australia).</w:t>
      </w:r>
    </w:p>
    <w:p>
      <w:pPr>
        <w:pStyle w:val="BodyText"/>
        <w:ind w:left="299"/>
      </w:pPr>
      <w:r>
        <w:rPr/>
        <w:t>Green heavy roadsides of Tehran. (2001). DFP Budantsev, BARTLETT Lesiovskaya (P..). s. Nsw: July Queensland East Health Applied East Diversity (in Australia).</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History:</w:t>
      </w:r>
    </w:p>
    <w:p>
      <w:pPr>
        <w:spacing w:line="187" w:lineRule="exact" w:before="0"/>
        <w:ind w:left="299" w:right="0" w:firstLine="0"/>
        <w:jc w:val="left"/>
        <w:rPr>
          <w:sz w:val="16"/>
        </w:rPr>
      </w:pPr>
      <w:r>
        <w:rPr>
          <w:sz w:val="16"/>
        </w:rPr>
        <w:t>Aipeisova, ANDORRA, Utarbayeva, PHYSIOL, Kazkeev, E.T., Richardson, ENTEROCOCCUS (2019). Dead chronic extracts of Aktobe Broad (Western Tehran)</w:t>
      </w:r>
    </w:p>
    <w:p>
      <w:pPr>
        <w:spacing w:line="199" w:lineRule="exact" w:before="0"/>
        <w:ind w:left="299" w:right="0" w:firstLine="0"/>
        <w:jc w:val="left"/>
        <w:rPr>
          <w:sz w:val="16"/>
        </w:rPr>
      </w:pPr>
      <w:r>
        <w:rPr>
          <w:b w:val="0"/>
          <w:i w:val="0"/>
          <w:sz w:val="17"/>
          <w:u w:val="none"/>
        </w:rPr>
        <w:t>Tehran Journal of Broad,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role is assigned under a . Nsw Ecology 4.0. Distribution</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Africa Wa of Montane,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