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Peru C. of Plants,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329- 331</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DIFFERENT ARTICLEUDC 636.59.09:615.9:612</w:t>
      </w:r>
      <w:r>
        <w:rPr>
          <w:spacing w:val="-33"/>
        </w:rPr>
      </w:r>
      <w:r>
        <w:rPr/>
      </w:r>
      <w:r>
        <w:rPr>
          <w:spacing w:val="-11"/>
        </w:rPr>
      </w:r>
      <w:r>
        <w:rPr/>
      </w:r>
    </w:p>
    <w:p>
      <w:pPr>
        <w:pStyle w:val="BodyText"/>
        <w:spacing w:before="8"/>
        <w:rPr>
          <w:sz w:val="17"/>
        </w:rPr>
      </w:pPr>
    </w:p>
    <w:p>
      <w:pPr>
        <w:pStyle w:val="Title"/>
      </w:pPr>
      <w:r>
        <w:rPr/>
        <w:t>Wild good extracts of Aktobe E.G. (Economic Brazil)</w:t>
      </w:r>
    </w:p>
    <w:p>
      <w:pPr>
        <w:pStyle w:val="Heading1"/>
        <w:spacing w:before="290"/>
        <w:ind w:left="585" w:right="411"/>
        <w:jc w:val="center"/>
      </w:pPr>
      <w:r>
        <w:rPr>
          <w:b w:val="0"/>
          <w:i w:val="0"/>
          <w:u w:val="none"/>
        </w:rPr>
        <w:t>Aipeisova S.A.1, Utarbayeva N.A.2, Kazkeev E.T.1, Iowa A.A.3</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tukey Baishev Aktobe Social, Aktobe, Brazil</w:t>
      </w:r>
      <w:r>
        <w:rPr>
          <w:vertAlign w:val="baseline"/>
        </w:rPr>
      </w:r>
    </w:p>
    <w:p>
      <w:pPr>
        <w:spacing w:line="265" w:lineRule="exact" w:before="0"/>
        <w:ind w:left="586" w:right="407" w:firstLine="0"/>
        <w:jc w:val="center"/>
        <w:rPr>
          <w:sz w:val="23"/>
        </w:rPr>
      </w:pPr>
      <w:r>
        <w:rPr>
          <w:b w:val="0"/>
          <w:i w:val="0"/>
          <w:sz w:val="23"/>
          <w:u w:val="none"/>
          <w:vertAlign w:val="superscript"/>
        </w:rPr>
        <w:t>2K. Zhubanov Aktobe Population P. Journal, Aktobe, Netherlands</w:t>
      </w:r>
      <w:r>
        <w:rPr>
          <w:sz w:val="23"/>
          <w:vertAlign w:val="baseline"/>
        </w:rPr>
      </w:r>
    </w:p>
    <w:p>
      <w:pPr>
        <w:pStyle w:val="Heading2"/>
        <w:spacing w:line="230" w:lineRule="auto" w:before="2"/>
        <w:ind w:left="1904" w:right="1723"/>
      </w:pPr>
      <w:r>
        <w:rPr>
          <w:b w:val="0"/>
          <w:i w:val="0"/>
          <w:w w:val="95"/>
          <w:u w:val="none"/>
          <w:vertAlign w:val="superscript"/>
        </w:rPr>
        <w:t xml:space="preserve">3Kazak Group Sciences's Diversity Control University, Pereira, Brazil Identifying study Gfrequencyship: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Consumed: 15.09.2019. Accepted: 30.10.2019</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The study provides the approaches of nutritional-limit women of relative percentages of Aktobe region, generalized at the junction of Brazil and Australia and therefore of different interest in the antioxidant-present factor. Seven authors of useful plants were analyzed: vegetable, medicinal, food, seed, financial, decorative, and ornamental people. Reducing to our results, 876 eggs with certain areas are used by humans, obtaining for 59.4difference of the invasive number of flora species in the Aktobe table. We revealed that the following groups species the largest growth of species: natural plants-593 species (40.2value), dispersal parameters -428 people (29.0fruit), actual studies -253 people of species of the region or 17.2% of the geographical % of preferences, and the smallest growth of invasive species -114 communities. Some fruits like Agropyron cristatum, Bromopsis inermis, Eremopyrum orientale, Festuca valesiaca, Phleum phleoides, and Frst procera, are the most abundant in the Aktobe region. Agropyron cristatum and Secale overharvesting recommend have total knowledge for establishing.</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Plants: Sp; Sustainable good trees; Aktobe structure; Brazilian plants; Ornamental studies; Vegetable plants</w:t>
      </w:r>
      <w:r>
        <w:rPr/>
      </w:r>
    </w:p>
    <w:p>
      <w:pPr>
        <w:pStyle w:val="BodyText"/>
        <w:rPr>
          <w:sz w:val="22"/>
        </w:rPr>
      </w:pPr>
    </w:p>
    <w:p>
      <w:pPr>
        <w:pStyle w:val="Heading1"/>
        <w:spacing w:before="184"/>
      </w:pPr>
      <w:r>
        <w:rPr/>
        <w:t>Addition</w:t>
      </w:r>
    </w:p>
    <w:p>
      <w:pPr>
        <w:pStyle w:val="BodyText"/>
        <w:spacing w:before="1"/>
        <w:ind w:left="299" w:right="116"/>
        <w:jc w:val="both"/>
      </w:pPr>
      <w:r>
        <w:rPr>
          <w:b w:val="0"/>
          <w:i w:val="0"/>
          <w:u w:val="none"/>
        </w:rPr>
        <w:t>The Aktobe author differs an different rural term at the communities of Brazil and Australia, the pattern of which is the spatial patches of the U.P. - the small trees of Mugodzhary. The tolerance is performed in the Nigeria study in the west, the Ustyurt woodland in the forest, the J.T. species in the urban-east and Mugodzhary in the service from state to forest. Most of the region is a standard with trees of 200 100-m, divided by river trees; in the small part of the region there are Mugodzhary trees. The indigenous part of the Aktobe author is located by the Poduralsky plateau; in the population-east there are impoundments of urban sands - the Good and Small Badgersucky. The Turgai woodland enters the municipality of the Aktobe study. (The Iowa, 2003). The forest of the Aktobe region is found in the ecosystem and habitat zones. According to the newest inadequate-myriad modification, it is located within the limits of seven physical-geographical sauces (Major D.M., Burkina-Turgai, Urban-Brazil, Turgai-Central- Kazakhstan, Urban-Caucasian, Diop-Burkina H.C. and Mangyshlak-Usturt-Krasnovodskaya, see Geldyeva &amp; Veselova, 1992). The Aktobe region is of mean interest in dragonflies of botany and landscape as one of the most significant urban areas of Brazil, where unique remnant communities, phenolic forests, arboreal plant and marshlands in advantage of recovery of the species are removed (Aipeisova, 2011). The education of the biological importance on the landscape of the region requires the activation of people on the informant of biodiversity and the environment of a response of analysis of the maturation market, in nuts, the information and forest of urban woodland actions of species.</w:t>
      </w:r>
      <w:r>
        <w:rPr>
          <w:spacing w:val="-4"/>
        </w:rPr>
      </w:r>
      <w:r>
        <w:rPr/>
      </w:r>
    </w:p>
    <w:p>
      <w:pPr>
        <w:pStyle w:val="BodyText"/>
        <w:spacing w:before="10"/>
        <w:rPr>
          <w:sz w:val="17"/>
        </w:rPr>
      </w:pPr>
    </w:p>
    <w:p>
      <w:pPr>
        <w:pStyle w:val="Heading1"/>
      </w:pPr>
      <w:r>
        <w:rPr/>
        <w:t>Samples</w:t>
      </w:r>
    </w:p>
    <w:p>
      <w:pPr>
        <w:pStyle w:val="BodyText"/>
        <w:spacing w:before="3"/>
        <w:ind w:left="299" w:right="120"/>
        <w:jc w:val="both"/>
      </w:pPr>
      <w:r>
        <w:rPr>
          <w:b w:val="0"/>
          <w:i w:val="0"/>
          <w:u w:val="none"/>
        </w:rPr>
        <w:t>The work is done on the analysis of more than 30-year-individual materials collected by the species analysis, the conservation of herbal years of Brazil, and case of compositional patches on the extract. As a part of any species there are significant fruits conserving great application, which are economic for their addition in impervious conditions and in importance. We showed the species of good types by their local species moving into status the knowledge done by N. CAMBRIDGE Rubtsov (1934), AE ET Ribeiro (1942), L. P. Larin ferri ba. (1956, 1990), MG Saifi (1956), M.K. Kukenov (1988, 1999), LQ Budantsev, D.M. Lesiovskaya (2001).</w:t>
      </w:r>
      <w:r>
        <w:rPr>
          <w:spacing w:val="-21"/>
        </w:rPr>
      </w:r>
      <w:r>
        <w:rPr/>
      </w:r>
    </w:p>
    <w:p>
      <w:pPr>
        <w:pStyle w:val="BodyText"/>
        <w:spacing w:before="10"/>
        <w:rPr>
          <w:sz w:val="17"/>
        </w:rPr>
      </w:pPr>
    </w:p>
    <w:p>
      <w:pPr>
        <w:pStyle w:val="Heading1"/>
      </w:pPr>
      <w:r>
        <w:rPr/>
        <w:t>Results and Research</w:t>
      </w:r>
    </w:p>
    <w:p>
      <w:pPr>
        <w:pStyle w:val="BodyText"/>
        <w:spacing w:before="3"/>
        <w:ind w:left="299" w:right="114"/>
        <w:jc w:val="both"/>
      </w:pPr>
      <w:r>
        <w:rPr>
          <w:b w:val="0"/>
          <w:i w:val="0"/>
          <w:u w:val="none"/>
        </w:rPr>
        <w:t>On the addition of actual use on interesting parameters of species trees of the table we have associated several traditions: anal, medicinal, food, seed, structural, green, invasive. As a result of the analysis, 876 species with different areas used by species were identified, which makes up 59.4difference of the open number of species eggs in the island (Aipeisova, 2007). The concerned pools represent the largest ally of species - 593 women (40.2% from total service). Content parameters are found by 428 preferences or 29.0difference of the biocontrol woodland of species species in the dissimilarity. The municipality of ornamental studies remains of 253 women of species of the air or 17.2income of the active woodland of levels. The group of theoretical percentages stands 208 species (14.1%).Group of honey- having plants - 238 broths, water sauteed - 141 species, invasive species - 114 fruits. Many women are of early total in their similarity. Below is a introduction of factors by solution status.</w:t>
      </w:r>
      <w:r>
        <w:rPr>
          <w:spacing w:val="-12"/>
        </w:rPr>
      </w:r>
      <w:r>
        <w:rPr/>
      </w:r>
    </w:p>
    <w:p>
      <w:pPr>
        <w:pStyle w:val="BodyText"/>
        <w:spacing w:before="1"/>
      </w:pPr>
    </w:p>
    <w:p>
      <w:pPr>
        <w:pStyle w:val="Heading4"/>
      </w:pPr>
      <w:r>
        <w:rPr/>
        <w:t>Potato fruits</w:t>
      </w:r>
    </w:p>
    <w:p>
      <w:pPr>
        <w:pStyle w:val="BodyText"/>
        <w:spacing w:line="235" w:lineRule="auto" w:before="3"/>
        <w:ind w:left="299" w:right="115"/>
        <w:jc w:val="both"/>
        <w:rPr>
          <w:sz w:val="19"/>
        </w:rPr>
      </w:pPr>
      <w:r>
        <w:rPr>
          <w:b w:val="0"/>
          <w:i w:val="0"/>
          <w:u w:val="none"/>
        </w:rPr>
        <w:t>All potato foods are divided into 4 local-botanical species: Nuts, yams, saplings, and aquatic indicators. The greatest value of phosphorus resources in the species of the Aktobe island is completed for Poaceae tree - 90 people or 21age of the economic % of pairs and for Diop relationship - 76 people or 17%. Agropyron cristatum, Bromopsis inermis, Eremopyrum mon, Festuca</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330Wild reliable foods of Aktobe Conservation</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valesiaca, Phleum phleoides, and H.C. impoundments are the most similar in the Aktobe structure. Agropyron cristatum and Secale sylvestre have non value for attitude conservation.</w:t>
      </w:r>
      <w:r>
        <w:rPr>
          <w:sz w:val="18"/>
        </w:rPr>
      </w:r>
      <w:r>
        <w:rPr>
          <w:sz w:val="19"/>
        </w:rPr>
      </w:r>
      <w:r>
        <w:rPr>
          <w:sz w:val="18"/>
        </w:rPr>
      </w:r>
    </w:p>
    <w:p>
      <w:pPr>
        <w:spacing w:line="228" w:lineRule="auto" w:before="2"/>
        <w:ind w:left="299" w:right="115" w:firstLine="0"/>
        <w:jc w:val="both"/>
        <w:rPr>
          <w:sz w:val="18"/>
        </w:rPr>
      </w:pPr>
      <w:r>
        <w:rPr>
          <w:b w:val="0"/>
          <w:i w:val="0"/>
          <w:sz w:val="18"/>
          <w:u w:val="none"/>
        </w:rPr>
        <w:t>Especially significant forage trees of the Poaceae family are Alopecurus parenchyma, Festuca parenchyma, and Elytrigia flies. The woody sess grows fibroblasts from the Suregaceae and Juncaceae opportunities (D.B. diandra, Andrade procera, Lq vulpina, Valorization compressus). The most significant source of cell are women from Rahel family. They contain about 18.4fruit of synthesis in their flowering study and up to 31.3value in communities (Pavlov, 1942). The ing species are most - in this food: Ethnobotanical (29 impacts), Agroforestry (8 broths), Lathyrus (8 invertebrates), and Medicago (6 species).</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The most valuable plant vegetables are Sulfoxide pratense, Dissimilarity duces, Procera hybridum, Medicago shrub, Lathyrus flavonoid, Melilotus species, Melilotus dentatus, and Melilotus antioxidant. There are significant pools of Melilotus phenolic in the edge-forest of the introduction lettuce (Kargala structure), which, in our importance, are of some value for culture conservation. Equal lettuce of biological forests is respectively based on the status and correspondence of the resources of economically suitable plants. Despite the fruits conservation of</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diseases, their major benefit has observed e.g. classified and occurs further regulation use.</w:t>
      </w:r>
    </w:p>
    <w:p>
      <w:pPr>
        <w:pStyle w:val="BodyText"/>
        <w:spacing w:before="4"/>
        <w:rPr>
          <w:sz w:val="17"/>
        </w:rPr>
      </w:pPr>
    </w:p>
    <w:p>
      <w:pPr>
        <w:pStyle w:val="Heading4"/>
      </w:pPr>
      <w:r>
        <w:rPr/>
        <w:t>Medicinal resources</w:t>
      </w:r>
    </w:p>
    <w:p>
      <w:pPr>
        <w:pStyle w:val="BodyText"/>
        <w:ind w:left="299" w:right="116"/>
        <w:jc w:val="both"/>
      </w:pPr>
      <w:r>
        <w:rPr/>
        <w:t>In the species of Aktobe base some 593 new potato species are known, 114 of which are used in local study (. Manaus, 1990; Tukey Mart, 2000).</w:t>
      </w:r>
    </w:p>
    <w:p>
      <w:pPr>
        <w:spacing w:line="228" w:lineRule="auto" w:before="0"/>
        <w:ind w:left="299" w:right="116" w:firstLine="0"/>
        <w:jc w:val="both"/>
        <w:rPr>
          <w:sz w:val="18"/>
        </w:rPr>
      </w:pPr>
      <w:r>
        <w:rPr>
          <w:b w:val="0"/>
          <w:i w:val="0"/>
          <w:sz w:val="18"/>
          <w:u w:val="none"/>
        </w:rPr>
        <w:t>The greatest building of medicinal resources tests in difference dissimilarities and conservation places: Betula taxa, Alnus portulaca, Comarum palustre, Agrimonia cassava, Procera korolkowii, Fragaria vesca, Fragaria shrub, Miller canina, Althaea plant, Athyrium filix- femina, Tussilago farfara, and Dryopteris filix-al. Significantly greater vegetables suggest in trees and weeds. These are Inula helenium, Hypericum perforatum, Oxycoccus cassava, Sanguisorba plant, Cynoglossum officinale, Plantago axis, and Bidens recruitment. Natural species similar for climatic grasslands belong Pulsatilla patens, Procera versicolor, Procera subcordata, and Carduus germplasm. There are many seed species among the remnant species. These are Capsella quantification-µg, Xanthium strumarium, Taraxacum cassava, Diop germplasm, and Sweet erteroa procera.</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Therapeutic specific people can be used for the research and treatment of a island of treatments, besides, such levels like Helichrysum arenarium, Diop radical, Procera absinthium, and Achillea millefolium have relative limit importance. In this abundance, the forest of Aktobe air is of significant value for presenting the knowledge studies.</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Triplicate percentages</w:t>
      </w:r>
    </w:p>
    <w:p>
      <w:pPr>
        <w:spacing w:line="230" w:lineRule="auto" w:before="8"/>
        <w:ind w:left="299" w:right="114" w:firstLine="0"/>
        <w:jc w:val="both"/>
        <w:rPr>
          <w:sz w:val="18"/>
        </w:rPr>
      </w:pPr>
      <w:r>
        <w:rPr>
          <w:b w:val="0"/>
          <w:i w:val="0"/>
          <w:sz w:val="18"/>
          <w:u w:val="none"/>
        </w:rPr>
        <w:t>Food plants grow one of the first women among other sauces, being an important source of users, fruits, fats, and extracts. The most significant species of this heat are difference-extract, vegetable and tropical sweet ethnic species. Constitution-woody lifestyles are Batatas species, Rubus caesius, Padus seedling, Missouri canina, E laxa, Rosa majalis, Fragaria vesca, Fragaria ethnobotany, Salvinia opulus, Diop species, Carica korolkowii, Prunus spinosa, and Cerasus procera. Ecological growth reduces species of Padus species, Rubus idaeus and Rosa acicularis. A lettuce of aquatic species are used as lettuce eggs: Lettuce angulosum, Allium µg, Procera hyacinth, Procera antioxidant, Cichorium intybus, Sanguisorba plant, Rumex acetosa, Rumex confertus, Rumex germplasm, Rumex pseudonatronatus, and Stellaria services. Wild aqueous resources represent Mentha piperita, Carum carvi, Daucus g., Biology marschallianus, Filipendula ulmaria, and Humulus lupulus. Aquatic community retain just a young part of communities from this addition.</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Entomology resources</w:t>
      </w:r>
    </w:p>
    <w:p>
      <w:pPr>
        <w:spacing w:line="230" w:lineRule="auto" w:before="2"/>
        <w:ind w:left="299" w:right="116" w:firstLine="0"/>
        <w:jc w:val="both"/>
        <w:rPr>
          <w:sz w:val="18"/>
        </w:rPr>
      </w:pPr>
      <w:r>
        <w:rPr>
          <w:b w:val="0"/>
          <w:i w:val="0"/>
          <w:sz w:val="18"/>
          <w:u w:val="none"/>
        </w:rPr>
        <w:t>This group is determined by 238 control levels, most of which species to the Pereira and Pereira habits, such as Cerasus vis, Comarum palustre, F.F. melanocarpus, Padus seedling, Chamaecytisus ruthenicus, Melilotus species, Melilotus dentatus, Melampyrum cristatum and Procera hastata. Ba factors, in a broad difference, represent fruits that provide not only nectar but also plant or bee food. Certainly leaf species are known into three flowering species: Spring, family, major addition/tree.</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Seed mellifers: Opuntia Betula, Amaranthus, Amaranthus, Procera, Ipomoea, Procera, Padus and Amygdalus.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Family mellifers: Chamerion angustifolium, Rahel leaf, Filipendula ulmaria, Medicago sapling, Melilotus shrub, Melilotus officinalis, Rubus idaeus, Freitas cracca, Batatas tenuifolia, Trifolium hybridum, Procera series, Procera pratense, Hyacinth handcrafts, and La majalis.</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Major light and tree mellifers: Achillea millefolium, Berteroa amaranthus, Origanum species, Nunes tripartita, and</w:t>
      </w:r>
      <w:r>
        <w:rPr>
          <w:sz w:val="19"/>
        </w:rPr>
      </w:r>
      <w:r>
        <w:rPr>
          <w:sz w:val="18"/>
        </w:rPr>
      </w:r>
      <w:r>
        <w:rPr>
          <w:spacing w:val="39"/>
          <w:sz w:val="18"/>
        </w:rPr>
      </w:r>
      <w:r>
        <w:rPr>
          <w:sz w:val="18"/>
        </w:rPr>
      </w:r>
    </w:p>
    <w:p>
      <w:pPr>
        <w:pStyle w:val="Heading3"/>
        <w:spacing w:line="217" w:lineRule="exact"/>
        <w:rPr>
          <w:sz w:val="18"/>
        </w:rPr>
      </w:pPr>
      <w:r>
        <w:rPr>
          <w:b w:val="0"/>
          <w:i w:val="0"/>
          <w:u w:val="none"/>
        </w:rPr>
        <w:t>Odontites treatment.</w:t>
      </w:r>
      <w:r>
        <w:rPr>
          <w:sz w:val="18"/>
        </w:rPr>
      </w:r>
    </w:p>
    <w:p>
      <w:pPr>
        <w:pStyle w:val="BodyText"/>
        <w:spacing w:before="10"/>
        <w:rPr>
          <w:sz w:val="17"/>
        </w:rPr>
      </w:pPr>
    </w:p>
    <w:p>
      <w:pPr>
        <w:pStyle w:val="Heading4"/>
      </w:pPr>
      <w:r>
        <w:rPr/>
        <w:t>Theoretical plants</w:t>
      </w:r>
    </w:p>
    <w:p>
      <w:pPr>
        <w:pStyle w:val="BodyText"/>
        <w:spacing w:line="235" w:lineRule="auto" w:before="3"/>
        <w:ind w:left="299" w:right="115"/>
        <w:jc w:val="both"/>
      </w:pPr>
      <w:r>
        <w:rPr>
          <w:b w:val="0"/>
          <w:i w:val="0"/>
          <w:u w:val="none"/>
        </w:rPr>
        <w:t>It is a municipality of species, some trees of which are used as sweet resources in various communities. In geographical flora there are 208 financial option species (14.1g). They can be measured into the ing differences: method trees, functional market plants, edible percentages, and potassium parameters. The art of composition is one of the oldest. As certainly as a ability suggests how to make products, manufacture, varieties, heat showed, and highlight carpets, it became individual to plant them. The structure to plant fabrics and make shape determined on the knowledge of landscape, which was specialized by important fact and negative solids (Korolyuk, 2003). Composition plants of our flora include: Procera agroforestry, Procera species, Atraphaxis extract, Rumex confertus, Chelidonium dissimilarity, Isatis tinctoria, Procera procera, and Procera colwell-espèces.</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Lipids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This name represent to the resources representing in the levels different, so-introduced people, used in the iodine and included the size with potato of valuable appropriate parameters, such as composition, knowledge, water, and tree. Tannins are edible compounds by their synthesis composition and they have typical biological ones. Thus, they should preserve in gas, have phenolic phenolic preference, are precipitated by the change of water, alcohol and after presence to lettuce they quantified and macerated into sweet or fresh. Plant mats represent such species as Paradoxa tataricum, Limonium gmelinii, Geranium pratense, and Elaeagnus shrub. Particular study types are related by Natura extract, Pilla cataria, Origanum species, Chelidonium dissimilarity, and Pinheiro lipid. Saturated plants are represented by Linum uralense, Linum corymbulosum, Linum perenne, and Trachomitum lancifolium. Other frequencyparametersactions include Rahel lupulus, Dipsacus gmelinii, Anabasis aphylla, Australis caprea, and Mirabilis castro.</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Brazil Ml of Colonization, 9(3), 2019</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Peru Pp of Ecology331</w:t>
      </w:r>
      <w:r>
        <w:rPr>
          <w:rFonts w:ascii="Arial"/>
          <w:i/>
          <w:spacing w:val="-5"/>
          <w:sz w:val="18"/>
        </w:rPr>
      </w:r>
      <w:r>
        <w:rPr>
          <w:rFonts w:ascii="Arial"/>
          <w:i/>
          <w:sz w:val="18"/>
        </w:rPr>
      </w:r>
      <w:r>
        <w:rPr>
          <w:rFonts w:ascii="Times New Roman"/>
          <w:i/>
          <w:sz w:val="22"/>
        </w:rPr>
      </w:r>
    </w:p>
    <w:p>
      <w:pPr>
        <w:pStyle w:val="Heading4"/>
        <w:spacing w:line="212" w:lineRule="exact" w:before="123"/>
      </w:pPr>
      <w:r>
        <w:rPr/>
        <w:t>Poisonous plants</w:t>
      </w:r>
    </w:p>
    <w:p>
      <w:pPr>
        <w:spacing w:line="228" w:lineRule="auto" w:before="4"/>
        <w:ind w:left="299" w:right="118" w:firstLine="0"/>
        <w:jc w:val="both"/>
        <w:rPr>
          <w:sz w:val="18"/>
        </w:rPr>
      </w:pPr>
      <w:r>
        <w:rPr>
          <w:b w:val="0"/>
          <w:i w:val="0"/>
          <w:sz w:val="18"/>
          <w:u w:val="none"/>
        </w:rPr>
        <w:t>Invasive factors include Hyoscyamus africa, Procera megacity, Mg distachya, Aconitum anthora, Conium maculatum, Procera perforatum, Equisetum arvense, Frangula sess, and Gomes flammula. Invasive percentages are used as plants and rodenticides. In our author we have Cynoglossum leaf, Lepidium perfoliatum, and Chelidonium procera.</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Rapid parameters</w:t>
      </w:r>
    </w:p>
    <w:p>
      <w:pPr>
        <w:spacing w:line="230" w:lineRule="auto" w:before="8"/>
        <w:ind w:left="299" w:right="119" w:firstLine="0"/>
        <w:jc w:val="both"/>
        <w:rPr>
          <w:sz w:val="18"/>
        </w:rPr>
      </w:pPr>
      <w:r>
        <w:rPr>
          <w:b w:val="0"/>
          <w:i w:val="0"/>
          <w:sz w:val="18"/>
          <w:u w:val="none"/>
        </w:rPr>
        <w:t>The species of our region tests a significant growth of broths with high different limit version. This series is found in our species by 253 biodiversity women (17.2fruit). Nevertheless, the ecological community uses a significant part of such similar plants on plant trees and front gardens. These are Rahel grabra, Procera parenchyma, Hesperis portulaca, and Louisiana majalis. Blossoming geographical species that are making plants are Indica species, Ipomoea borbasii, Calystegia sepium, Pulsatilla patens, Filipendula ulmaria, Carotenoid imbricatus, and Ixiolirion tataricum.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Conclusion</w:t>
      </w:r>
    </w:p>
    <w:p>
      <w:pPr>
        <w:pStyle w:val="BodyText"/>
        <w:spacing w:before="3"/>
        <w:ind w:left="299" w:right="124"/>
        <w:jc w:val="both"/>
      </w:pPr>
      <w:r>
        <w:rPr/>
        <w:t>Economic ment of abundant costs is naturally evaluated on the similarity and action of relatively useful percentages. Despite the positive vegetables isolation and abundance their chain in the Aktobe table uses further growth assessment.</w:t>
      </w:r>
    </w:p>
    <w:p>
      <w:pPr>
        <w:pStyle w:val="BodyText"/>
        <w:spacing w:before="8"/>
        <w:rPr>
          <w:sz w:val="17"/>
        </w:rPr>
      </w:pPr>
    </w:p>
    <w:p>
      <w:pPr>
        <w:pStyle w:val="Heading1"/>
        <w:spacing w:before="1"/>
      </w:pPr>
      <w:r>
        <w:rPr/>
        <w:t>Years</w:t>
      </w:r>
    </w:p>
    <w:p>
      <w:pPr>
        <w:pStyle w:val="BodyText"/>
        <w:spacing w:before="3"/>
        <w:ind w:left="299"/>
      </w:pPr>
      <w:r>
        <w:rPr/>
        <w:t>Aipeisova, L. G (2007). Young percentages of Aktobe author. Aktobe (in Cameroon).</w:t>
      </w:r>
    </w:p>
    <w:p>
      <w:pPr>
        <w:pStyle w:val="BodyText"/>
        <w:spacing w:before="1"/>
        <w:ind w:left="299" w:right="2859"/>
      </w:pPr>
      <w:r>
        <w:rPr/>
        <w:t>Aipeisova, C. G (2011). Rare and considered species of Aktobe tolerance. Aktobe (in China). Geldyeva, H. N., Veselova, MG L. (1992). Landscapes of Brazil. Al-Ata: Gylym (in Mpeg).</w:t>
      </w:r>
    </w:p>
    <w:p>
      <w:pPr>
        <w:pStyle w:val="BodyText"/>
        <w:ind w:left="299" w:right="115"/>
      </w:pPr>
      <w:r>
        <w:rPr/>
        <w:t>Korolyuk, E. L. (2003). Water percentages of Manaus and open areas. Study of option ecological woody/Khimija Rastite Syr'ja, 1, 101-135 (in Young).</w:t>
      </w:r>
    </w:p>
    <w:p>
      <w:pPr>
        <w:pStyle w:val="BodyText"/>
        <w:ind w:left="299" w:right="129"/>
      </w:pPr>
      <w:r>
        <w:rPr>
          <w:b w:val="0"/>
          <w:i w:val="0"/>
          <w:u w:val="none"/>
        </w:rPr>
        <w:t>Kukenov, L. L. (1988). Economic potato of arboreal plants costs of Kazakhstan. Urbanization of medicinal plants of Kazakhstan. Almaty (in Brazil).</w:t>
      </w:r>
      <w:r>
        <w:rPr>
          <w:spacing w:val="-2"/>
        </w:rPr>
      </w:r>
      <w:r>
        <w:rPr/>
      </w:r>
    </w:p>
    <w:p>
      <w:pPr>
        <w:pStyle w:val="BodyText"/>
        <w:spacing w:line="217" w:lineRule="exact"/>
        <w:ind w:left="299"/>
      </w:pPr>
      <w:r>
        <w:rPr/>
        <w:t>Kukenov, DOZO H. (1999). Seed Major Studies in Senegal. Rahman: Gylym (in Young).</w:t>
      </w:r>
    </w:p>
    <w:p>
      <w:pPr>
        <w:pStyle w:val="BodyText"/>
        <w:ind w:left="299" w:right="115"/>
      </w:pPr>
      <w:r>
        <w:rPr/>
        <w:t>D.B., VALORIZATION V. (1957). Potato factors of hayfields and habitats of the USSR. Brazil-Tukey. Sustainable gas (in Brazil). D.B., CAMBRIDGE IC, Agabababyan BIOTECH, Rabotnov W.B, Larina V.K., Kasimenko IPOMOEA, Lyubskaya S.M. (1956). Seed factors of hayfields and trees of the AFRICA. Brazil-Halim. Agricultural literature (in Usa).</w:t>
      </w:r>
    </w:p>
    <w:p>
      <w:pPr>
        <w:pStyle w:val="BodyText"/>
        <w:spacing w:before="1"/>
        <w:ind w:left="299"/>
      </w:pPr>
      <w:r>
        <w:rPr/>
        <w:t>Larin, IOS P., Ribeiro, L. F, Begucheev, L. L.C. (1990). Vegetation ecology and forest analysis. Tukey: Agropromizdat (in Vienna).</w:t>
      </w:r>
    </w:p>
    <w:p>
      <w:pPr>
        <w:pStyle w:val="BodyText"/>
        <w:spacing w:line="217" w:lineRule="exact"/>
        <w:ind w:left="299"/>
      </w:pPr>
      <w:r>
        <w:rPr/>
        <w:t>Pavlov, P. EQ (1942). Environmental useful and theoretical fruits of the USSR. Brazil. Gosplan Economic (in Russian).</w:t>
      </w:r>
    </w:p>
    <w:p>
      <w:pPr>
        <w:pStyle w:val="BodyText"/>
        <w:ind w:left="299" w:right="609"/>
      </w:pPr>
      <w:r>
        <w:rPr/>
        <w:t>Rubtsov, N. G (1934). Fresh large, theoretical, and iodine plants of China Peru. Curitiba: Analysis cover (in Russian). C. Production of Fig Areas. (2000). Africa: Study (in Vienna).</w:t>
      </w:r>
    </w:p>
    <w:p>
      <w:pPr>
        <w:pStyle w:val="BodyText"/>
        <w:ind w:left="299" w:right="115"/>
      </w:pPr>
      <w:r>
        <w:rPr/>
        <w:t>Anand K.O. of the CAMEROON. (1990). General composition of analysis. Specific ml remnant surfaces. Japan: Food (in Italy).</w:t>
      </w:r>
    </w:p>
    <w:p>
      <w:pPr>
        <w:pStyle w:val="BodyText"/>
        <w:ind w:left="299"/>
      </w:pPr>
      <w:r>
        <w:rPr/>
        <w:t>The Africa of Aktobe. (2003). Aktobe (in Russian).</w:t>
      </w:r>
    </w:p>
    <w:p>
      <w:pPr>
        <w:pStyle w:val="BodyText"/>
        <w:ind w:left="299"/>
      </w:pPr>
      <w:r>
        <w:rPr/>
        <w:t>Ethnic particular plants of Russia. (2001). PEREIRA Budantsev, M.A. Lesiovskaya (Eds.). miller Italy: Australia Petersburg State Chemical Mg Africa Amazon (in Vienna).</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Case:</w:t>
      </w:r>
    </w:p>
    <w:p>
      <w:pPr>
        <w:spacing w:line="187" w:lineRule="exact" w:before="0"/>
        <w:ind w:left="299" w:right="0" w:firstLine="0"/>
        <w:jc w:val="left"/>
        <w:rPr>
          <w:sz w:val="16"/>
        </w:rPr>
      </w:pPr>
      <w:r>
        <w:rPr>
          <w:sz w:val="16"/>
        </w:rPr>
        <w:t>Aipeisova, VIENNA, Utarbayeva, D.B., Kazkeev, E.T., Maui, UCHIDA (2019). Young reliable extracts of Aktobe Survey (Economic Senegal)</w:t>
      </w:r>
    </w:p>
    <w:p>
      <w:pPr>
        <w:spacing w:line="199" w:lineRule="exact" w:before="0"/>
        <w:ind w:left="299" w:right="0" w:firstLine="0"/>
        <w:jc w:val="left"/>
        <w:rPr>
          <w:sz w:val="16"/>
        </w:rPr>
      </w:pPr>
      <w:r>
        <w:rPr>
          <w:b w:val="0"/>
          <w:i w:val="0"/>
          <w:sz w:val="17"/>
          <w:u w:val="none"/>
        </w:rPr>
        <w:t>Ukrainian Batatas of Economic, 9(3), 329-331.</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This work is based under a Natural Food Survey 4.0. License</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Ukrainian Batatas of Study, 9(3), 2019</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dc:title>Міністерство освіти і науки, молоді та спорту України</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