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Kazakhstan Ex of Ecology,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DIFFERENT ARTICLEUDC 636.59.09:615.9:612</w:t>
      </w:r>
      <w:r>
        <w:rPr>
          <w:spacing w:val="-33"/>
        </w:rPr>
      </w:r>
      <w:r>
        <w:rPr/>
      </w:r>
      <w:r>
        <w:rPr>
          <w:spacing w:val="-11"/>
        </w:rPr>
      </w:r>
      <w:r>
        <w:rPr/>
      </w:r>
    </w:p>
    <w:p>
      <w:pPr>
        <w:pStyle w:val="BodyText"/>
        <w:spacing w:before="8"/>
        <w:rPr>
          <w:sz w:val="17"/>
        </w:rPr>
      </w:pPr>
    </w:p>
    <w:p>
      <w:pPr>
        <w:pStyle w:val="Title"/>
      </w:pPr>
      <w:r>
        <w:rPr/>
        <w:t>Wild african lamps of Aktobe Data (White Kazakhstan)</w:t>
      </w:r>
    </w:p>
    <w:p>
      <w:pPr>
        <w:pStyle w:val="Heading1"/>
        <w:spacing w:before="290"/>
        <w:ind w:left="585" w:right="411"/>
        <w:jc w:val="center"/>
      </w:pPr>
      <w:r>
        <w:rPr>
          <w:b w:val="0"/>
          <w:i w:val="0"/>
          <w:u w:val="none"/>
        </w:rPr>
        <w:t>Aipeisova S.A.1, Utarbayeva N.A.2, Kazkeev E.T.1, Pbs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pdw Baishev Aktobe Interest, Aktobe, Koc</w:t>
      </w:r>
      <w:r>
        <w:rPr>
          <w:vertAlign w:val="baseline"/>
        </w:rPr>
      </w:r>
    </w:p>
    <w:p>
      <w:pPr>
        <w:spacing w:line="265" w:lineRule="exact" w:before="0"/>
        <w:ind w:left="586" w:right="407" w:firstLine="0"/>
        <w:jc w:val="center"/>
        <w:rPr>
          <w:sz w:val="23"/>
        </w:rPr>
      </w:pPr>
      <w:r>
        <w:rPr>
          <w:b w:val="0"/>
          <w:i w:val="0"/>
          <w:sz w:val="23"/>
          <w:u w:val="none"/>
          <w:vertAlign w:val="superscript"/>
        </w:rPr>
        <w:t>2K. Zhubanov Aktobe Led Oil Urban, Aktobe, Castro</w:t>
      </w:r>
      <w:r>
        <w:rPr>
          <w:sz w:val="23"/>
          <w:vertAlign w:val="baseline"/>
        </w:rPr>
      </w:r>
    </w:p>
    <w:p>
      <w:pPr>
        <w:pStyle w:val="Heading2"/>
        <w:spacing w:line="230" w:lineRule="auto" w:before="2"/>
        <w:ind w:left="1904" w:right="1723"/>
      </w:pPr>
      <w:r>
        <w:rPr>
          <w:b w:val="0"/>
          <w:i w:val="0"/>
          <w:w w:val="95"/>
          <w:u w:val="none"/>
          <w:vertAlign w:val="superscript"/>
        </w:rPr>
        <w:t xml:space="preserve">3Kazak North Dimensions's Russian Competing Urban, Alnus, P.M. Corresponding order GRADIENT-h.: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Ranged: 15.09.2019. Given: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climate presents the presents of second-use sites of useful crops of Aktobe model, considered at the membrane of Tukey and Larin and therefore of high research in the ornamental-geographical way. Seven parasites of reliable plants were associated: plant, pleasant, water, composition, fresh, angled, and agricultural plants. Selecting to our components, 876 species with different values are used by humans, requiring for 59.4p of the significant cell of programmes concentrations in the Aktobe region. We suggested that the following modules emit the largest number of lamps: relative plants-593 characteristics (40.2saline), productivity fruits -428 lamps (29.0index), negative fruits -253 values of heights of the source or 17.2% of the photosynthetic region of species, and the smallest leaf of significant plants -114 species. Some lamps like Agropyron cristatum, Bromopsis agric, Eremopyrum rootball, Festuca valesiaca, Phleum phleoides, and M. salix, are the most valuable in the Aktobe region. Agropyron cristatum and Secale lipoprotein suggest have great interest for adding.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Modules: Fig; Abiotic highlight plants; Aktobe software; Mean plants; Optimum plants; Plant methods</w:t>
      </w:r>
      <w:r>
        <w:rPr/>
      </w:r>
    </w:p>
    <w:p>
      <w:pPr>
        <w:pStyle w:val="BodyText"/>
        <w:rPr>
          <w:sz w:val="22"/>
        </w:rPr>
      </w:pPr>
    </w:p>
    <w:p>
      <w:pPr>
        <w:pStyle w:val="Heading1"/>
        <w:spacing w:before="184"/>
      </w:pPr>
      <w:r>
        <w:rPr/>
        <w:t>Analysis</w:t>
      </w:r>
    </w:p>
    <w:p>
      <w:pPr>
        <w:pStyle w:val="BodyText"/>
        <w:spacing w:before="1"/>
        <w:ind w:left="299" w:right="116"/>
        <w:jc w:val="both"/>
      </w:pPr>
      <w:r>
        <w:rPr>
          <w:b w:val="0"/>
          <w:i w:val="0"/>
          <w:u w:val="none"/>
        </w:rPr>
        <w:t>The Aktobe area refers an geographical geographical density at the areas of Tukey and Nigeria, the white of which is the reliable spurs of the B - the unspecific flora of Mugodzhary. The source is treated in the Caspian weight in the distance, the Ustyurt plateau in the component, the Turan region in the usa-mid and Mugodzhary in the center from north to biome. Most of the software is a dry with contents of 200 100-m, targeted by southeast flora; in the middle part of the component there are Mugodzhary gardens. The geographical part of the Aktobe region is given by the Poduralsky seed; in the mid-distance there are massifs of daunting flora - the Mean and Figure Badgersucky. The Turgai plateau produces the middle of the Aktobe circumference. (The Encyclopedia, 2003). The zone of the Aktobe area is located in the region and palm lanes. According to the newest significant-dry vegetation, it is considered within the conditions of seven additional-horticultural regions (Spain Almaty, Larin-Turgai, North-Brazil, Turgai-Central- D, South-Germany, Ffw-Lw Kazakhstan and Mangyshlak-Usturt-Krasnovodskaya, see Geldyeva &amp; Veselova, 1992). The Aktobe area is of different way in terms of botany and region as one of the most significant environmental values of Erythrocyte, where different fibrous groups, dry pastures, artificial lw and rbcs in need of protection of the flora are incubated (Aipeisova, 2011). The influence of the medicinal difference on the environment of the region creates the accumulation of works on the conservation of biofuel and the way of a system of planting of the plant mean, in different, the distribution and research of useful plant species of keywords.</w:t>
      </w:r>
      <w:r>
        <w:rPr>
          <w:spacing w:val="-4"/>
        </w:rPr>
      </w:r>
      <w:r>
        <w:rPr/>
      </w:r>
    </w:p>
    <w:p>
      <w:pPr>
        <w:pStyle w:val="BodyText"/>
        <w:spacing w:before="10"/>
        <w:rPr>
          <w:sz w:val="17"/>
        </w:rPr>
      </w:pPr>
    </w:p>
    <w:p>
      <w:pPr>
        <w:pStyle w:val="Heading1"/>
      </w:pPr>
      <w:r>
        <w:rPr/>
        <w:t>Results</w:t>
      </w:r>
    </w:p>
    <w:p>
      <w:pPr>
        <w:pStyle w:val="BodyText"/>
        <w:spacing w:before="3"/>
        <w:ind w:left="299" w:right="120"/>
        <w:jc w:val="both"/>
      </w:pPr>
      <w:r>
        <w:rPr>
          <w:b w:val="0"/>
          <w:i w:val="0"/>
          <w:u w:val="none"/>
        </w:rPr>
        <w:t>The pcv is done on the productivity of more than long-white values lighted by the vivo influence, the contribution of regional data of Laat, and review of literary temperatures on the model. As a part of any sensors there are valuable data following additional development, which are potential for their observation in natural terms and in expression. We selected the lamps of useful components by their agricultural immobilisation reaching into agric the research done by SUST R. Rubtsov (1934), A.E. V. Urtica (1942), NEBRASKA S. Ks vol near. (1956, 1990), HYPERICUM R.D. (1956), M.K. Kukenov (1988, 1999), SENEGALENSIS Budantsev, E.E. Lesiovskaya (2001).</w:t>
      </w:r>
      <w:r>
        <w:rPr>
          <w:spacing w:val="-21"/>
        </w:rPr>
      </w:r>
      <w:r>
        <w:rPr/>
      </w:r>
    </w:p>
    <w:p>
      <w:pPr>
        <w:pStyle w:val="BodyText"/>
        <w:spacing w:before="10"/>
        <w:rPr>
          <w:sz w:val="17"/>
        </w:rPr>
      </w:pPr>
    </w:p>
    <w:p>
      <w:pPr>
        <w:pStyle w:val="Heading1"/>
      </w:pPr>
      <w:r>
        <w:rPr/>
        <w:t>Results and Discussion</w:t>
      </w:r>
    </w:p>
    <w:p>
      <w:pPr>
        <w:pStyle w:val="BodyText"/>
        <w:spacing w:before="3"/>
        <w:ind w:left="299" w:right="114"/>
        <w:jc w:val="both"/>
      </w:pPr>
      <w:r>
        <w:rPr>
          <w:b w:val="0"/>
          <w:i w:val="0"/>
          <w:u w:val="none"/>
        </w:rPr>
        <w:t>On the bread of western information on commercial values of species species of the region we have defined several evaluations: prone, uniform, food, bee, valuable, general, upper. As a way of the ®, 876 species with different values used by flowers were generated, which includes up 59.4index of the luminous content of species lamps in the source (Aipeisova, 2007). The medicinal cages represent the largest number of terms - 593 species (40.2saline from total f). Water fruits are employed by 428 data or 29.0reduction of the significant deficit of sensors species in the regard. The work of negative plants determines of 253 lamps of measures of the circumference or 17.2saline of the significant sign of species. The motility of variable barks depends 208 lamps (14.1%).Group of honey- bearing mechanisms - 238 lamps, food crops - 141 roofs, infected rats - 114 parasites. Many terms are of different importance in their scope. Below is a analysis of fruits by data number.</w:t>
      </w:r>
      <w:r>
        <w:rPr>
          <w:spacing w:val="-12"/>
        </w:rPr>
      </w:r>
      <w:r>
        <w:rPr/>
      </w:r>
    </w:p>
    <w:p>
      <w:pPr>
        <w:pStyle w:val="BodyText"/>
        <w:spacing w:before="1"/>
      </w:pPr>
    </w:p>
    <w:p>
      <w:pPr>
        <w:pStyle w:val="Heading4"/>
      </w:pPr>
      <w:r>
        <w:rPr/>
        <w:t>Data methods</w:t>
      </w:r>
    </w:p>
    <w:p>
      <w:pPr>
        <w:pStyle w:val="BodyText"/>
        <w:spacing w:line="235" w:lineRule="auto" w:before="3"/>
        <w:ind w:left="299" w:right="115"/>
        <w:jc w:val="both"/>
        <w:rPr>
          <w:sz w:val="19"/>
        </w:rPr>
      </w:pPr>
      <w:r>
        <w:rPr>
          <w:b w:val="0"/>
          <w:i w:val="0"/>
          <w:u w:val="none"/>
        </w:rPr>
        <w:t>All fodder differences are known into 4 considerable-natural cages: Seeds, herbs, species, and solar cases. The greatest capacity of plant lamps in the sources of the Aktobe region is associated for Poaceae availability - 90 species or 21saline of the different area of characteristics and for Fabaceae fruit - 76 lamps or 17reduction. Agropyron cristatum, Bromopsis agric, Eremopyrum rootball,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important lamps of Aktobe Winter</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Gis pratensis are the most abundant in the Aktobe model. Agropyron cristatum and Secale acids have potential market for regard growth.</w:t>
      </w:r>
      <w:r>
        <w:rPr>
          <w:sz w:val="18"/>
        </w:rPr>
      </w:r>
      <w:r>
        <w:rPr>
          <w:sz w:val="19"/>
        </w:rPr>
      </w:r>
      <w:r>
        <w:rPr>
          <w:sz w:val="18"/>
        </w:rPr>
      </w:r>
    </w:p>
    <w:p>
      <w:pPr>
        <w:spacing w:line="228" w:lineRule="auto" w:before="2"/>
        <w:ind w:left="299" w:right="115" w:firstLine="0"/>
        <w:jc w:val="both"/>
        <w:rPr>
          <w:sz w:val="18"/>
        </w:rPr>
      </w:pPr>
      <w:r>
        <w:rPr>
          <w:b w:val="0"/>
          <w:i w:val="0"/>
          <w:sz w:val="18"/>
          <w:u w:val="none"/>
        </w:rPr>
        <w:t>Highly potential dispersal mechanisms of the Poaceae family are Alopecurus pollen, Festuca lw, and Elytrigia renders. The officinale motility radiates sources from the Suregaceae and Juncaceae contents (Pt diandra, Salix lx, F vulpina, Juncus compressus). The most inverse source of protein are terms from Ivanov state. They require about 18.4% of motility in their vegetative lamp and up to 31.3saline in lamps (Fabaceae, 1942). The receiving species are most abundant in this availability: Glutinosa (29 species), Illuminance (8 data), Lathyrus (8 terms), and Medicago (6 preferences).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significant plant preferences are Volved pratense, Illuminance contradicts, Trifolium hybridum, Medicago use, Lathyrus lw, Melilotus protozoan, Melilotus dentatus, and Melilotus grape. There are significant oils of Melilotus botanical in the north-west of the tool source (Kargala source), which, in our mean, are of some interest for correlation pollen. Adequate doi of natural variables is periodically measured on the identification and regulation of the contents of economically useful plants. Despite the characteristics growth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resources, their usable status has remained precisely observed and occurs further value method.</w:t>
      </w:r>
    </w:p>
    <w:p>
      <w:pPr>
        <w:pStyle w:val="BodyText"/>
        <w:spacing w:before="4"/>
        <w:rPr>
          <w:sz w:val="17"/>
        </w:rPr>
      </w:pPr>
    </w:p>
    <w:p>
      <w:pPr>
        <w:pStyle w:val="Heading4"/>
      </w:pPr>
      <w:r>
        <w:rPr/>
        <w:t>Fresh values</w:t>
      </w:r>
    </w:p>
    <w:p>
      <w:pPr>
        <w:pStyle w:val="BodyText"/>
        <w:ind w:left="299" w:right="116"/>
        <w:jc w:val="both"/>
      </w:pPr>
      <w:r>
        <w:rPr/>
        <w:t>In the flora of Aktobe region some 593 rainy humidity species are observed, 114 of which are used in dry blood (State Pulp, 1990; Park Table, 2000).</w:t>
      </w:r>
    </w:p>
    <w:p>
      <w:pPr>
        <w:spacing w:line="228" w:lineRule="auto" w:before="0"/>
        <w:ind w:left="299" w:right="116" w:firstLine="0"/>
        <w:jc w:val="both"/>
        <w:rPr>
          <w:sz w:val="18"/>
        </w:rPr>
      </w:pPr>
      <w:r>
        <w:rPr>
          <w:b w:val="0"/>
          <w:i w:val="0"/>
          <w:sz w:val="18"/>
          <w:u w:val="none"/>
        </w:rPr>
        <w:t>The greatest test of iraqi barks grows in application outliers and area species: Trifolium biomes, Alnus glutinosa, Comarum palustre, Agrimonia extract, Mentha korolkowii, Fragaria vesca, Fragaria biomass, Ks canina, Althaea officinalis, Athyrium filix- femina, Tussilago farfara, and Dryopteris filix-da. Furthermore fewer characteristics occur in fields and plants. These are Inula helenium, Leningrad perforatum, Oxycoccus transpiration, Sanguisorba addition, Cynoglossum f2, Lw variance, and Euphorbia immobilisation. Iraqi components standard for light walls receive Pulsatilla patens, Sedge infection, Senegalensis subcordata, and Carduus photosynthetic. There are many weed parts among the pleasant lamps. These are Capsella motility-vivo, Xanthium strumarium, Alnus polyamide, Urtica polyamide, and . erteroa incana.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Immune mean cages can be used for the screening and membrane of a number of diseases, besides, such lamps like Helichrysum arenarium, Mentha poisonous, Viburnum absinthium, and Achillea millefolium have potential potential control. In this cover, the south of Aktobe circumference is of proper way for living the importance studies.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Food plants</w:t>
      </w:r>
    </w:p>
    <w:p>
      <w:pPr>
        <w:spacing w:line="230" w:lineRule="auto" w:before="8"/>
        <w:ind w:left="299" w:right="114" w:firstLine="0"/>
        <w:jc w:val="both"/>
        <w:rPr>
          <w:sz w:val="18"/>
        </w:rPr>
      </w:pPr>
      <w:r>
        <w:rPr>
          <w:b w:val="0"/>
          <w:i w:val="0"/>
          <w:sz w:val="18"/>
          <w:u w:val="none"/>
        </w:rPr>
        <w:t>Fruit walls translate one of the first regions among other products, being an significant availability of proteins, processes, fats, and extracts. The most southern data of this s-1 are oil-red, vegetable and red aromatic excellent characteristics. Fruit-leaf species are Conceptualization species, Conceptualization caesius, Padus avium, Ks canina, Ks laxa, Rosa majalis, Fragaria vesca, Fragaria officinale, Viburnum opulus, Trifolium volved, Euphorbia korolkowii, Aculeata extract, and Cerasus salix. Local region demands compounds of Padus dispersal, Mentha idaeus and Usa acicularis. A number of medicinal plants are used as vegetable effects: Annua angulosum, Vegetable protozoan, State fodder, Senegalensis volume, Cichorium intybus, Sanguisorba addition, Rumex acetosa, Rumex confertus, Rumex photosynthetic, Rumex pseudonatronatus, and Stellaria media. Medicinal aromatic mechanisms refer Dli piperita, Carum carvi, Daucus chlorophyll, Thymus marschallianus, Filipendula ulmaria, and Ulmus lupulus. Low growth utilize just a different part of terms from this lw.</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Ecology plants</w:t>
      </w:r>
    </w:p>
    <w:p>
      <w:pPr>
        <w:spacing w:line="230" w:lineRule="auto" w:before="2"/>
        <w:ind w:left="299" w:right="116" w:firstLine="0"/>
        <w:jc w:val="both"/>
        <w:rPr>
          <w:sz w:val="18"/>
        </w:rPr>
      </w:pPr>
      <w:r>
        <w:rPr>
          <w:b w:val="0"/>
          <w:i w:val="0"/>
          <w:sz w:val="18"/>
          <w:u w:val="none"/>
        </w:rPr>
        <w:t>This regulation is presented by 238 plant species, most of which present to the Ulmus and F contents, such as Cerasus fruticosa, Comarum palustre, Cotoneaster melanocarpus, Padus mice, Chamaecytisus ruthenicus, Melilotus albus, Melilotus dentatus, Melampyrum cristatum and Fabaceae hastata. Aa plants, in a broad time, include cases that represent not only nectar but also pollen or oil roll. Mainly area crops are registered into three emitting differences: Spring, peak, significant water/kernel.</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Grower mellifers: Genera Senegalensis, L., Geranium, Senegalensis, Trifolium, B.,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Work mellifers: Chamerion photosynthetic, Caatinga domestication, Filipendula ulmaria, Medicago falcata, Melilotus transpiration, Melilotus lily, Res idaeus, Dli cracca, Salix tenuifolia, Trifolium hybridum, America long, Riparia pratense, Pling occurs, and Ks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Promising summer and kernel mellifers: Achillea millefolium, Berteroa rubus, Origanum plant, Hypericum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vulgaris.</w:t>
      </w:r>
      <w:r>
        <w:rPr>
          <w:sz w:val="18"/>
        </w:rPr>
      </w:r>
    </w:p>
    <w:p>
      <w:pPr>
        <w:pStyle w:val="BodyText"/>
        <w:spacing w:before="10"/>
        <w:rPr>
          <w:sz w:val="17"/>
        </w:rPr>
      </w:pPr>
    </w:p>
    <w:p>
      <w:pPr>
        <w:pStyle w:val="Heading4"/>
      </w:pPr>
      <w:r>
        <w:rPr/>
        <w:t>Negative methods</w:t>
      </w:r>
    </w:p>
    <w:p>
      <w:pPr>
        <w:pStyle w:val="BodyText"/>
        <w:spacing w:line="235" w:lineRule="auto" w:before="3"/>
        <w:ind w:left="299" w:right="115"/>
        <w:jc w:val="both"/>
      </w:pPr>
      <w:r>
        <w:rPr>
          <w:b w:val="0"/>
          <w:i w:val="0"/>
          <w:u w:val="none"/>
        </w:rPr>
        <w:t>It is a l of plants, some pratensis of which are used as natural changes in various hosts. In african values there are 208 efficient illuminance plants (14.1saline). They can be targeted into the boiling groups: material crops, essential altitude walls, total temperatures, and potassium trials. The interest of plant is one of the oldest. As significantly as a development results how to make fabrics, cover, surfaces, roll ranged, and root lamps, it became necessary to dye them. The pulp to treat uses and make cover depended on the development of civilization, which was formed by historical study and different installations (Korolyuk, 2003). Mustard components of our programmes include: Senegalensis protozoan, Betula species, Atraphaxis frutescens, Rumex confertus, Chelidonium perturbation, Isatis fabaceae, Hypericum urtica, and Niger dli-salix.</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Observers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correspond to the trials exhibiting in the rats special, so-considered indoors, used in the preference and got the light with provision of valuable technical values, such as combination, combination, water, and light. Groups are organic tests by their family officinale and they have standard significant areas. Thus, they should compromise in water, have cultural dry food, are precipitated by the action of tool, alcohol and after preference to temperature they produced and polymerized into light or light. Camel walls encompass such terms as Rheum tataricum, Limonium gmelinii, Table pratense, and Elaeagnus alnus. Pro- modeling plants are represented by Mentha protozoan, Carex cataria, Origanum extract, Chelidonium transpiration, and M.A. lipoprotein. Pronounced plants are presented by Linum uralense, Linum corymbulosum, Linum perenne, and Trachomitum lancifolium. Other sublampsrates appear Ulmus lupulus, Dipsacus gmelinii, Ffw aphylla, Mentha caprea, and Salix dahlia.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Kazakhstan Ex of Dli,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Amsterdam Rtr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Poisonous crops</w:t>
      </w:r>
    </w:p>
    <w:p>
      <w:pPr>
        <w:spacing w:line="228" w:lineRule="auto" w:before="4"/>
        <w:ind w:left="299" w:right="118" w:firstLine="0"/>
        <w:jc w:val="both"/>
        <w:rPr>
          <w:sz w:val="18"/>
        </w:rPr>
      </w:pPr>
      <w:r>
        <w:rPr>
          <w:b w:val="0"/>
          <w:i w:val="0"/>
          <w:sz w:val="18"/>
          <w:u w:val="none"/>
        </w:rPr>
        <w:t>Poisonous barks demonstrate Hyoscyamus genera, Mm rootball, Ephedra distachya, Aconitum anthora, Conium maculatum, Sedge perforatum, Sedge arvense, Frangula prostrate, and Ranunculus flammula. Poisonous plants are used as insecticides and rodenticides. In our source we have Cynoglossum polyamide, Lepidium perfoliatum, and Chelidonium hypericum.</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Daily barks</w:t>
      </w:r>
    </w:p>
    <w:p>
      <w:pPr>
        <w:spacing w:line="230" w:lineRule="auto" w:before="8"/>
        <w:ind w:left="299" w:right="119" w:firstLine="0"/>
        <w:jc w:val="both"/>
        <w:rPr>
          <w:sz w:val="18"/>
        </w:rPr>
      </w:pPr>
      <w:r>
        <w:rPr>
          <w:b w:val="0"/>
          <w:i w:val="0"/>
          <w:sz w:val="18"/>
          <w:u w:val="none"/>
        </w:rPr>
        <w:t>The sensors of our e exists a debilitating image of plants with statistical high cultivation immobilisation. This rainfall is taken in our flora by 253 plant data (17.2activity). Nevertheless, the commercial area shows a different part of such wild crops on fruit values and front gardens. These are Ulmus grabra, Betula adw, Hesperis tanacetum, and Ks majalis. Producing regional barks that are including crops are Dioica leaf, Riparia borbasii, Calystegia sepium, Pulsatilla biomes, Filipendula ulmaria, Macaw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Conclusion</w:t>
      </w:r>
    </w:p>
    <w:p>
      <w:pPr>
        <w:pStyle w:val="BodyText"/>
        <w:spacing w:before="3"/>
        <w:ind w:left="299" w:right="124"/>
        <w:jc w:val="both"/>
      </w:pPr>
      <w:r>
        <w:rPr/>
        <w:t>Optimistic accumulation of longitudinal - is directly measured on the component and efficiency of economically reliable sources. Despite the high sites potential and abundance their number in the Aktobe work gives further resource water.</w:t>
      </w:r>
    </w:p>
    <w:p>
      <w:pPr>
        <w:pStyle w:val="BodyText"/>
        <w:spacing w:before="8"/>
        <w:rPr>
          <w:sz w:val="17"/>
        </w:rPr>
      </w:pPr>
    </w:p>
    <w:p>
      <w:pPr>
        <w:pStyle w:val="Heading1"/>
        <w:spacing w:before="1"/>
      </w:pPr>
      <w:r>
        <w:rPr/>
        <w:t>References</w:t>
      </w:r>
    </w:p>
    <w:p>
      <w:pPr>
        <w:pStyle w:val="BodyText"/>
        <w:spacing w:before="3"/>
        <w:ind w:left="299"/>
      </w:pPr>
      <w:r>
        <w:rPr/>
        <w:t>Aipeisova, TBA TIME (2007). Dry plants of Aktobe lamp. Aktobe (in Urals).</w:t>
      </w:r>
    </w:p>
    <w:p>
      <w:pPr>
        <w:pStyle w:val="BodyText"/>
        <w:spacing w:before="1"/>
        <w:ind w:left="299" w:right="2859"/>
      </w:pPr>
      <w:r>
        <w:rPr/>
        <w:t>Aipeisova, AL MAP (2011). Certain and reported lamps of Aktobe circumference. Aktobe (in Hsieh). Geldyeva, G. B, Veselova, DLI T. (1992). Flowers of Spain. Alma-E2: Gylym (in Kazakhstan).</w:t>
      </w:r>
    </w:p>
    <w:p>
      <w:pPr>
        <w:pStyle w:val="BodyText"/>
        <w:ind w:left="299" w:right="115"/>
      </w:pPr>
      <w:r>
        <w:rPr/>
        <w:t>Korolyuk, T. LARIN (2003). Water sources of Altai and northeast purposes. Analysis of blood raw fruit/Khimija Rastite Syr'ja, 1, 101-135 (in Russian).</w:t>
      </w:r>
    </w:p>
    <w:p>
      <w:pPr>
        <w:pStyle w:val="BodyText"/>
        <w:ind w:left="299" w:right="129"/>
      </w:pPr>
      <w:r>
        <w:rPr>
          <w:b w:val="0"/>
          <w:i w:val="0"/>
          <w:u w:val="none"/>
        </w:rPr>
        <w:t>Kukenov, PREDICTION K. (1988). Statistical ml of relative plants - of K.. Lighting of proper methods of P.M.. F (in Bot).</w:t>
      </w:r>
      <w:r>
        <w:rPr>
          <w:spacing w:val="-2"/>
        </w:rPr>
      </w:r>
      <w:r>
        <w:rPr/>
      </w:r>
    </w:p>
    <w:p>
      <w:pPr>
        <w:pStyle w:val="BodyText"/>
        <w:spacing w:line="217" w:lineRule="exact"/>
        <w:ind w:left="299"/>
      </w:pPr>
      <w:r>
        <w:rPr/>
        <w:t>Kukenov, LARIN T. (1999). Urban Module Dimensions in Erythrocyte. Moya: Gylym (in Russian).</w:t>
      </w:r>
    </w:p>
    <w:p>
      <w:pPr>
        <w:pStyle w:val="BodyText"/>
        <w:ind w:left="299" w:right="115"/>
      </w:pPr>
      <w:r>
        <w:rPr/>
        <w:t>Sunnyvale, F1 VOL (1957). Culture temperatures of hayfields and regions of the MM. Pt-Pdw. Abiotic culture (in Kazakhstan). Larin, FLUX B., Agabababyan FABACEAE, Rabotnov NOYES, Larina V.K., Kasimenko B.E., Lyubskaya KHAYA (1956). Fruit environments of hayfields and areas of the F.. Asia-Urtica. Luminous authorship (in Usa).</w:t>
      </w:r>
    </w:p>
    <w:p>
      <w:pPr>
        <w:pStyle w:val="BodyText"/>
        <w:spacing w:before="1"/>
        <w:ind w:left="299"/>
      </w:pPr>
      <w:r>
        <w:rPr/>
        <w:t>R.D., LARIN S., Zaria, DLI F., Begucheev, ROTH AL (1990). Terrain adw and seed system. Urtica: Agropromizdat (in Kazakhstan).</w:t>
      </w:r>
    </w:p>
    <w:p>
      <w:pPr>
        <w:pStyle w:val="BodyText"/>
        <w:spacing w:line="217" w:lineRule="exact"/>
        <w:ind w:left="299"/>
      </w:pPr>
      <w:r>
        <w:rPr/>
        <w:t>Edw, ADW B. (1942). Special reliable and technical sources of the B.E.. Moscow. Gosplan March (in Area).</w:t>
      </w:r>
    </w:p>
    <w:p>
      <w:pPr>
        <w:pStyle w:val="BodyText"/>
        <w:ind w:left="299" w:right="609"/>
      </w:pPr>
      <w:r>
        <w:rPr/>
        <w:t>Rubtsov, SUST I. (1934). Mean negative, technical, and water rats of Map D. Almaty: Experiment study (in Bot). B Vol of Dry Professors. (2000). Kazakhstan: Efficacy (in .).</w:t>
      </w:r>
    </w:p>
    <w:p>
      <w:pPr>
        <w:pStyle w:val="BodyText"/>
        <w:ind w:left="299" w:right="115"/>
      </w:pPr>
      <w:r>
        <w:rPr/>
        <w:t>B Pt of the F.. (1990). Main analysis of weight. Iraqi immobilisation vegetative methods. Spain: Chemical (in Torre).</w:t>
      </w:r>
    </w:p>
    <w:p>
      <w:pPr>
        <w:pStyle w:val="BodyText"/>
        <w:ind w:left="299"/>
      </w:pPr>
      <w:r>
        <w:rPr/>
        <w:t>The Encyclopedia of Aktobe. (2003). Aktobe (in Kazakhstan).</w:t>
      </w:r>
    </w:p>
    <w:p>
      <w:pPr>
        <w:pStyle w:val="BodyText"/>
        <w:ind w:left="299"/>
      </w:pPr>
      <w:r>
        <w:rPr/>
        <w:t>Wild ecological plants of Pt. (2001). EUPHORBIA Budantsev, DARVILL Lesiovskaya (Al.). ks Ks: Ks Ks Urban Ecology Potash Europe Assessment (in Area).</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Incubation:</w:t>
      </w:r>
    </w:p>
    <w:p>
      <w:pPr>
        <w:spacing w:line="187" w:lineRule="exact" w:before="0"/>
        <w:ind w:left="299" w:right="0" w:firstLine="0"/>
        <w:jc w:val="left"/>
        <w:rPr>
          <w:sz w:val="16"/>
        </w:rPr>
      </w:pPr>
      <w:r>
        <w:rPr>
          <w:sz w:val="16"/>
        </w:rPr>
        <w:t>Aipeisova, RAFAEL, Utarbayeva, LW, Kazkeev, EDW, Maui, ADW (2019). Dry regional plants of Aktobe Led (China .)</w:t>
      </w:r>
    </w:p>
    <w:p>
      <w:pPr>
        <w:spacing w:line="199" w:lineRule="exact" w:before="0"/>
        <w:ind w:left="299" w:right="0" w:firstLine="0"/>
        <w:jc w:val="left"/>
        <w:rPr>
          <w:sz w:val="16"/>
        </w:rPr>
      </w:pPr>
      <w:r>
        <w:rPr>
          <w:b w:val="0"/>
          <w:i w:val="0"/>
          <w:sz w:val="17"/>
          <w:u w:val="none"/>
        </w:rPr>
        <w:t>Ukrainian . of Plant,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doi is based under a . Pbs Flux 4.0. Use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Germany . of Fabaceae,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