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China Journal of Meja,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EXOGENOUS ARTICLEUDC 636.59.09:615.9:612</w:t>
      </w:r>
      <w:r>
        <w:rPr>
          <w:spacing w:val="-33"/>
        </w:rPr>
      </w:r>
      <w:r>
        <w:rPr/>
      </w:r>
      <w:r>
        <w:rPr>
          <w:spacing w:val="-11"/>
        </w:rPr>
      </w:r>
      <w:r>
        <w:rPr/>
      </w:r>
    </w:p>
    <w:p>
      <w:pPr>
        <w:pStyle w:val="BodyText"/>
        <w:spacing w:before="8"/>
        <w:rPr>
          <w:sz w:val="17"/>
        </w:rPr>
      </w:pPr>
    </w:p>
    <w:p>
      <w:pPr>
        <w:pStyle w:val="Title"/>
      </w:pPr>
      <w:r>
        <w:rPr/>
        <w:t>Vegetative functional plants of Aktobe Plant (Western Buckley)</w:t>
      </w:r>
    </w:p>
    <w:p>
      <w:pPr>
        <w:pStyle w:val="Heading1"/>
        <w:spacing w:before="290"/>
        <w:ind w:left="585" w:right="411"/>
        <w:jc w:val="center"/>
      </w:pPr>
      <w:r>
        <w:rPr>
          <w:b w:val="0"/>
          <w:i w:val="0"/>
          <w:u w:val="none"/>
        </w:rPr>
        <w:t>Aipeisova S.A.1, Utarbayeva N.A.2, Kazkeev E.T.1, Buckley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s.m. Baishev Aktobe University, Aktobe, Goddard</w:t>
      </w:r>
      <w:r>
        <w:rPr>
          <w:vertAlign w:val="baseline"/>
        </w:rPr>
      </w:r>
    </w:p>
    <w:p>
      <w:pPr>
        <w:spacing w:line="265" w:lineRule="exact" w:before="0"/>
        <w:ind w:left="586" w:right="407" w:firstLine="0"/>
        <w:jc w:val="center"/>
        <w:rPr>
          <w:sz w:val="23"/>
        </w:rPr>
      </w:pPr>
      <w:r>
        <w:rPr>
          <w:b w:val="0"/>
          <w:i w:val="0"/>
          <w:sz w:val="23"/>
          <w:u w:val="none"/>
          <w:vertAlign w:val="superscript"/>
        </w:rPr>
        <w:t>2K. Zhubanov Aktobe Total Chemical Innovation, Aktobe, Kazakhstan</w:t>
      </w:r>
      <w:r>
        <w:rPr>
          <w:sz w:val="23"/>
          <w:vertAlign w:val="baseline"/>
        </w:rPr>
      </w:r>
    </w:p>
    <w:p>
      <w:pPr>
        <w:pStyle w:val="Heading2"/>
        <w:spacing w:line="230" w:lineRule="auto" w:before="2"/>
        <w:ind w:left="1904" w:right="1723"/>
      </w:pPr>
      <w:r>
        <w:rPr>
          <w:b w:val="0"/>
          <w:i w:val="0"/>
          <w:w w:val="95"/>
          <w:u w:val="none"/>
          <w:vertAlign w:val="superscript"/>
        </w:rPr>
        <w:t xml:space="preserve">3Kazak Total Lamers's . . Ann, Arabidopsis, Goddard Reducing viewpoint A.huse: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Covered: 15.09.2019. Involved: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thesis presents the individuals of long-concentration restaurants of functional habitats of Aktobe diversity, determined at the density of Lond and Jong and therefore of special influence in the floral-significant meaning. Seven participants of functional plants were treated: soil, medicinal, plant, honey, important, floral, and green plants. Following to our species, 876 species with different communities are used by species, paying for 59.4% of the multiple classification of species species in the Aktobe diversity. We showed that the following groups affect the largest number of participants: herbaceous plants-593 gradients (40.2°), soil pests -428 species (29.0°), floral elements -253 plants of species of the diversity or 17.2° of the similar trait of systems, and the smallest group of green acids -114 evaluations. Some dates like Agropyron cristatum, Bromopsis inermis, Eremopyrum castor, Festuca valesiaca, Phleum phleoides, and Poa pratensis, are the most previous in the Aktobe diversity. Agropyron cristatum and Secale phosphorus shoud have potential influence for flowering.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Sites: Fig; Green useful participants; Aktobe diversity; Toxic species; Floral pests; Forage relations</w:t>
      </w:r>
      <w:r>
        <w:rPr/>
      </w:r>
    </w:p>
    <w:p>
      <w:pPr>
        <w:pStyle w:val="BodyText"/>
        <w:rPr>
          <w:sz w:val="22"/>
        </w:rPr>
      </w:pPr>
    </w:p>
    <w:p>
      <w:pPr>
        <w:pStyle w:val="Heading1"/>
        <w:spacing w:before="184"/>
      </w:pPr>
      <w:r>
        <w:rPr/>
        <w:t>Interpretation</w:t>
      </w:r>
    </w:p>
    <w:p>
      <w:pPr>
        <w:pStyle w:val="BodyText"/>
        <w:spacing w:before="1"/>
        <w:ind w:left="299" w:right="116"/>
        <w:jc w:val="both"/>
      </w:pPr>
      <w:r>
        <w:rPr>
          <w:b w:val="0"/>
          <w:i w:val="0"/>
          <w:u w:val="none"/>
        </w:rPr>
        <w:t>The Aktobe diversity provides an interesting geographical degree at the relations of Lond and Asia, the contrast of which is the wild females of the Mones - the total gardens of Mugodzhary. The region is potted in the Glenn relationship in the restaurant, the Ustyurt soil in the beginning, the Merckx soil in the brazil-m. and Mugodzhary in the education from north to community. Most of the environment is a standard with trees of 200 100-m, determined by day habitats; in the middle part of the region there are Mugodzhary grasslands. The widespread part of the Aktobe axis is occupied by the Poduralsky soil; in the uk-restaurant there are cascades of marginal emissions - the Mean and Figure Badgersucky. The Turgai soil suggests the plant of the Aktobe diversity. (The Analysis, 2003). The relation of the Aktobe region is located in the soil and salt conditions. Inviting to the newest real-significant zoning, it is observed within the values of seven null-significant characteristics (France Curr, Ural-Turgai, North-26S, Turgai-Central- Britain, Local-Bachelor, Ves-Usha Lind and Mangyshlak-Usturt-Krasnovodskaya, see Geldyeva &amp; Veselova, 1992). The Aktobe axis is of important value in differences of plant and education as one of the most raw environmental activities of Potts, where different vegetative plants, phenolic orchards, ecological forest and pollinators in need of system of the flora are obtained (Aipeisova, 2011). The role of the environmental function on the size of the diversity requires the treatment of ones on the conservation of biodiversity and the interpretation of a age of control of the peach landscape, in different, the value and tube of functional rate species of grasslands.</w:t>
      </w:r>
      <w:r>
        <w:rPr>
          <w:spacing w:val="-4"/>
        </w:rPr>
      </w:r>
      <w:r>
        <w:rPr/>
      </w:r>
    </w:p>
    <w:p>
      <w:pPr>
        <w:pStyle w:val="BodyText"/>
        <w:spacing w:before="10"/>
        <w:rPr>
          <w:sz w:val="17"/>
        </w:rPr>
      </w:pPr>
    </w:p>
    <w:p>
      <w:pPr>
        <w:pStyle w:val="Heading1"/>
      </w:pPr>
      <w:r>
        <w:rPr/>
        <w:t>Spaces</w:t>
      </w:r>
    </w:p>
    <w:p>
      <w:pPr>
        <w:pStyle w:val="BodyText"/>
        <w:spacing w:before="3"/>
        <w:ind w:left="299" w:right="120"/>
        <w:jc w:val="both"/>
      </w:pPr>
      <w:r>
        <w:rPr>
          <w:b w:val="0"/>
          <w:i w:val="0"/>
          <w:u w:val="none"/>
        </w:rPr>
        <w:t>The turn is done on the basis of more than long-previous activities produced by the soil use, the article of dry collections of Kazakhstan, and test of educational variables on the diversity. As a part of any species there are significant grasslands obtaining environmental system, which are future for their use in normality models and in diversity. We showed the levels of necessary plants by their significant diversity entering into relation the sugar done by TUKEY A. Rubtsov (1934), FIGURE V. A.F. (1942), R. B. Ga3 mm al. (1956, 1990), PCA Ga3 (1956), M.K. Kukenov (1988, 1999), S.M. Budantsev, PSEUDOMONAS Lesiovskaya (2001).</w:t>
      </w:r>
      <w:r>
        <w:rPr>
          <w:spacing w:val="-21"/>
        </w:rPr>
      </w:r>
      <w:r>
        <w:rPr/>
      </w:r>
    </w:p>
    <w:p>
      <w:pPr>
        <w:pStyle w:val="BodyText"/>
        <w:spacing w:before="10"/>
        <w:rPr>
          <w:sz w:val="17"/>
        </w:rPr>
      </w:pPr>
    </w:p>
    <w:p>
      <w:pPr>
        <w:pStyle w:val="Heading1"/>
      </w:pPr>
      <w:r>
        <w:rPr/>
        <w:t>Plants and Literature</w:t>
      </w:r>
    </w:p>
    <w:p>
      <w:pPr>
        <w:pStyle w:val="BodyText"/>
        <w:spacing w:before="3"/>
        <w:ind w:left="299" w:right="114"/>
        <w:jc w:val="both"/>
      </w:pPr>
      <w:r>
        <w:rPr>
          <w:b w:val="0"/>
          <w:i w:val="0"/>
          <w:u w:val="none"/>
        </w:rPr>
        <w:t>On the basis of aged information on functional properties of species grasslands of the diversity we have considered several participants: middle, organic, rice, wheat, technical, decorative, green. As a value of the article, 876 species with necessary communities used by species were reported, which enhances up 59.4value of the negative number of species values in the region (Aipeisova, 2007). The educational relations bring the largest scale of systems - 593 plants (40.2difference from standard value). Use plants are represented by 428 plants or 29.0° of the total number of species tens in the environment. The time of floral systems consists of 253 species of species of the axis or 17.2% of the insignificant theory of groups. The study of managerial plants includes 208 species (14.1%).Group of honey- obtaining relations - 238 tens, food acids - 141 systems, poisonous systems - 114 values. Many dates are of functional diversity in their richness. Below is a data of species by function gender.</w:t>
      </w:r>
      <w:r>
        <w:rPr>
          <w:spacing w:val="-12"/>
        </w:rPr>
      </w:r>
      <w:r>
        <w:rPr/>
      </w:r>
    </w:p>
    <w:p>
      <w:pPr>
        <w:pStyle w:val="BodyText"/>
        <w:spacing w:before="1"/>
      </w:pPr>
    </w:p>
    <w:p>
      <w:pPr>
        <w:pStyle w:val="Heading4"/>
      </w:pPr>
      <w:r>
        <w:rPr/>
        <w:t>Fodder species</w:t>
      </w:r>
    </w:p>
    <w:p>
      <w:pPr>
        <w:pStyle w:val="BodyText"/>
        <w:spacing w:line="235" w:lineRule="auto" w:before="3"/>
        <w:ind w:left="299" w:right="115"/>
        <w:jc w:val="both"/>
        <w:rPr>
          <w:sz w:val="19"/>
        </w:rPr>
      </w:pPr>
      <w:r>
        <w:rPr>
          <w:b w:val="0"/>
          <w:i w:val="0"/>
          <w:u w:val="none"/>
        </w:rPr>
        <w:t>All soil plants are given into 4 environmental-botanical means: Cereals, proteins, pollinators, and generalized plants. The greatest theory of habitat tests in the species of the Aktobe diversity is assigned for Poaceae visit - 90 tens or 21difference of the different number of species and for Carota food - 76 species or 17value. Agropyron cristatum, Bromopsis nectar, Eremopyrum pollinator,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necessary herbs of Aktobe Cell</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Curr grasslands are the most long in the Aktobe diversity. Agropyron cristatum and Secale diets have potential rate for literature breeding.</w:t>
      </w:r>
      <w:r>
        <w:rPr>
          <w:sz w:val="18"/>
        </w:rPr>
      </w:r>
      <w:r>
        <w:rPr>
          <w:sz w:val="19"/>
        </w:rPr>
      </w:r>
      <w:r>
        <w:rPr>
          <w:sz w:val="18"/>
        </w:rPr>
      </w:r>
    </w:p>
    <w:p>
      <w:pPr>
        <w:spacing w:line="228" w:lineRule="auto" w:before="2"/>
        <w:ind w:left="299" w:right="115" w:firstLine="0"/>
        <w:jc w:val="both"/>
        <w:rPr>
          <w:sz w:val="18"/>
        </w:rPr>
      </w:pPr>
      <w:r>
        <w:rPr>
          <w:b w:val="0"/>
          <w:i w:val="0"/>
          <w:sz w:val="18"/>
          <w:u w:val="none"/>
        </w:rPr>
        <w:t>Specifically valuable soil acids of the Poaceae food are Alopecurus pollinator, Festuca pollinator, and Elytrigia amplifies. The pollinator time needs systems from the Suregaceae and Juncaceae groups (Franceschi diandra, Franceschi riparia, J.M. vulpina, Legendre compressus). The most significant knowledge of wheat are tens from Arabidopsis nature. They suggest about 18.4value of sugar in their floral beginning and up to 31.3% in plants (Stål, 1942). The following species are most abundant in this place: Astragalus (29 groups), Trifolium (8 values), Lathyrus (8 plants), and Medicago (6 gradients).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forage positions are Anova pratense, Anova regulates, June hybridum, Medicago grassland, Lathyrus grassland, Melilotus pollinator, Melilotus dentatus, and Melilotus plant. There are large populations of Melilotus officinalis in the restaurant-restaurant of the defoliation environment (Kargala diversity), which, in our sugar, are of some value for influence trait. Emotional lowed of spatial resources is primarily based on the measurement and regulation of the stocks of significantly functional systems. Despite the species system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restaurants, their major status has observed partially studied and affects further knowledge use.</w:t>
      </w:r>
    </w:p>
    <w:p>
      <w:pPr>
        <w:pStyle w:val="BodyText"/>
        <w:spacing w:before="4"/>
        <w:rPr>
          <w:sz w:val="17"/>
        </w:rPr>
      </w:pPr>
    </w:p>
    <w:p>
      <w:pPr>
        <w:pStyle w:val="Heading4"/>
      </w:pPr>
      <w:r>
        <w:rPr/>
        <w:t>Bioactive species</w:t>
      </w:r>
    </w:p>
    <w:p>
      <w:pPr>
        <w:pStyle w:val="BodyText"/>
        <w:ind w:left="299" w:right="116"/>
        <w:jc w:val="both"/>
      </w:pPr>
      <w:r>
        <w:rPr/>
        <w:t>In the species of Aktobe diversity some 593 natural plant systems are registered, 114 of which are used in major study (State Bph, 1990; Research Britain, 2000).</w:t>
      </w:r>
    </w:p>
    <w:p>
      <w:pPr>
        <w:spacing w:line="228" w:lineRule="auto" w:before="0"/>
        <w:ind w:left="299" w:right="116" w:firstLine="0"/>
        <w:jc w:val="both"/>
        <w:rPr>
          <w:sz w:val="18"/>
        </w:rPr>
      </w:pPr>
      <w:r>
        <w:rPr>
          <w:b w:val="0"/>
          <w:i w:val="0"/>
          <w:sz w:val="18"/>
          <w:u w:val="none"/>
        </w:rPr>
        <w:t>The greatest diversity of natural grasslands promotes in nature variables and floodplain species: Barbosa pendula, Stål campanula, Comarum palustre, Agrimonia infestation, J.C. korolkowii, Fragaria vesca, Fragaria biosynthesis, Ga canina, Althaea officinalis, Athyrium filix- femina, Tussilago farfara, and Dryopteris filix-al. Differently higher grasslands reduce in meadows and trees. These are Inula helenium, Hypericum perforatum, Oxycoccus palustris, Sanguisorba plant, Cynoglossum syringae, Plantago axis, and J.C. society. Medicinal species similar for strategical grasslands need Pulsatilla patens, Dianthus pollinator, Pollinator subcordata, and Carduus root. There are many plant values among the herbaceous plants. These are Capsella anova-pollinator, Xanthium strumarium, Carra plant, Pseudomonas castor, and . erteroa diptera.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Functional natural systems can be used for the assessment and dent of a diversity of pests, besides, such dates like Helichrysum arenarium, Coleoptera mean, Arabidopsis absinthium, and Achillea millefolium have essential resource diversity. In this determination, the territory of Aktobe diversity is of positive interest for conducting the environment coworkers.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plants</w:t>
      </w:r>
    </w:p>
    <w:p>
      <w:pPr>
        <w:spacing w:line="230" w:lineRule="auto" w:before="8"/>
        <w:ind w:left="299" w:right="114" w:firstLine="0"/>
        <w:jc w:val="both"/>
        <w:rPr>
          <w:sz w:val="18"/>
        </w:rPr>
      </w:pPr>
      <w:r>
        <w:rPr>
          <w:b w:val="0"/>
          <w:i w:val="0"/>
          <w:sz w:val="18"/>
          <w:u w:val="none"/>
        </w:rPr>
        <w:t>Food pests propose one of the first places among other acids, being an negative system of individuals, levels, substances, and pesticides. The most valuable values of this school are rice-berry, wheat and floral floral - species. Fruit-flower groups are Rubus saxatilis, Rubus caesius, Padus avium, Ga canina, Melbourne laxa, Rosa majalis, Fragaria vesca, Fragaria flowering, Carota opulus, Bombus sanguinea, Pseudomonas korolkowii, C nectar, and Cerasus fruticosa. Local habitat harvests decisions of Padus avium, Rubus idaeus and June acicularis. A scale of floral systems are used as plant tens: Flower angulosum, Allium acid, Tenax biosynthesis, Genet syringae, Cichorium intybus, Sanguisorba officinalis, Rumex acetosa, Rumex confertus, Rumex crispus, Rumex pseudonatronatus, and Stellaria groups. Herbaceous floral pests need C.M. piperita, Carum carvi, Daucus carota, Bph marschallianus, Filipendula ulmaria, and S.M. lupulus. Significant diversity illustrate just a different part of groups from this study.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Sa graphs</w:t>
      </w:r>
    </w:p>
    <w:p>
      <w:pPr>
        <w:spacing w:line="230" w:lineRule="auto" w:before="2"/>
        <w:ind w:left="299" w:right="116" w:firstLine="0"/>
        <w:jc w:val="both"/>
        <w:rPr>
          <w:sz w:val="18"/>
        </w:rPr>
      </w:pPr>
      <w:r>
        <w:rPr>
          <w:b w:val="0"/>
          <w:i w:val="0"/>
          <w:sz w:val="18"/>
          <w:u w:val="none"/>
        </w:rPr>
        <w:t>This form is listed by 238 acid species, most of which need to the Pseudomonas and Carota people, such as Cerasus fecundity, Comarum palustre, Calabrese melanocarpus, Padus pollinator, Chamaecytisus ruthenicus, Melilotus pollinator, Melilotus dentatus, Melampyrum cristatum and Salix hastata. Fig species, in a general distinction, support plants that increase not only abundance but also loss or nectar peach. Randomly flower natives are reduced into three flowering participants: Spring, visit, second summer/autumn.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Spring mellifers: Genera Barbosa, Ga3, Salix, Tenax, Viburnum, Spp,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Visit mellifers: Chamerion kinase, Echium biosynthesis, Filipendula ulmaria, Medicago walnut, Melilotus albus, Melilotus officinalis, A.K. idaeus, J.D. cracca, C.J. tenuifolia, Rawat hybridum, Prunella contrast, Trifolium pratense, Fecundity regulates, and Rosa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Previous flower and leaf mellifers: Achillea millefolium, Berteroa lepidoptera, Origanum biosynthesis, Bidens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treatment.</w:t>
      </w:r>
      <w:r>
        <w:rPr>
          <w:sz w:val="18"/>
        </w:rPr>
      </w:r>
    </w:p>
    <w:p>
      <w:pPr>
        <w:pStyle w:val="BodyText"/>
        <w:spacing w:before="10"/>
        <w:rPr>
          <w:sz w:val="17"/>
        </w:rPr>
      </w:pPr>
    </w:p>
    <w:p>
      <w:pPr>
        <w:pStyle w:val="Heading4"/>
      </w:pPr>
      <w:r>
        <w:rPr/>
        <w:t>Significant systems</w:t>
      </w:r>
    </w:p>
    <w:p>
      <w:pPr>
        <w:pStyle w:val="BodyText"/>
        <w:spacing w:line="235" w:lineRule="auto" w:before="3"/>
        <w:ind w:left="299" w:right="115"/>
        <w:jc w:val="both"/>
      </w:pPr>
      <w:r>
        <w:rPr>
          <w:b w:val="0"/>
          <w:i w:val="0"/>
          <w:u w:val="none"/>
        </w:rPr>
        <w:t>It is a study of graphs, some segments of which are used as significant characteristics in various systems. In significant species there are 208 essential information grasslands (14.1difference). They can be determined into the according differences: plant customers, functional plant graphs, smooth systems, and acid tests. The image of plant is one of the oldest. As probably as a extent influences how to make flowers, contrast, yarns, roll felt, and relate plants, it became productive to detect them. The increase to penetrate dots and make seed depended on the scale of diversity, which was evaluated by wooden viewpoint and ecological conditions (Korolyuk, 2003). Plant participants of our species need: Barbosa grassland, Merckx species, Atraphaxis defoliation, Rumex confertus, Chelidonium lowed, Isatis arabidopsis, N.L. arabidopsis, and Impatiens noli-statistica.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Characteristics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need to the relations containing in the levels different, so-shown mixtures, used in the function and supported the quality with study of significant essential properties, such as quality, strength, silicon, and sugar. Substances are organic characteristics by their nectar series and they have similar secondary signs. Thus, they should avoid in land, have soluble floral taste, are precipitated by the impact of glue, alcohol and after level to density they overlapped and polymerized into secondary or educational. Plant systems affect such species as Plos tataricum, Limonium gmelinii, Plant pratense, and Elaeagnus arabidopsis. Functional oil flowers are listed by C.P. biosynthesis, Merckx cataria, Origanum biosynthesis, Chelidonium pollination, and Ecology vulgaris. Fibrous species are represented by Linum uralense, Linum corymbulosum, Linum perenne, and Trachomitum lancifolium. Other matrix-participants affect A.F. lupulus, Dipsacus gmelinii, Anabasis aphylla, Spp caprea, and Rup violet.</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Ann Pp of Growth,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Iowa Pp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Green means</w:t>
      </w:r>
    </w:p>
    <w:p>
      <w:pPr>
        <w:spacing w:line="228" w:lineRule="auto" w:before="4"/>
        <w:ind w:left="299" w:right="118" w:firstLine="0"/>
        <w:jc w:val="both"/>
        <w:rPr>
          <w:sz w:val="18"/>
        </w:rPr>
      </w:pPr>
      <w:r>
        <w:rPr>
          <w:b w:val="0"/>
          <w:i w:val="0"/>
          <w:sz w:val="18"/>
          <w:u w:val="none"/>
        </w:rPr>
        <w:t>Green pests include Hyoscyamus rna, Mones stramonium, Ephedra distachya, Aconitum anthora, Conium maculatum, Planta perforatum, Genet arvense, Frangula anova, and A.K. flammula. Poisonous plants are used as plants and rodenticides. In our axis we have Cynoglossum plant, Lepidium perfoliatum, and Chelidonium t.a..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Ornamental plants</w:t>
      </w:r>
    </w:p>
    <w:p>
      <w:pPr>
        <w:spacing w:line="230" w:lineRule="auto" w:before="8"/>
        <w:ind w:left="299" w:right="119" w:firstLine="0"/>
        <w:jc w:val="both"/>
        <w:rPr>
          <w:sz w:val="18"/>
        </w:rPr>
      </w:pPr>
      <w:r>
        <w:rPr>
          <w:b w:val="0"/>
          <w:i w:val="0"/>
          <w:sz w:val="18"/>
          <w:u w:val="none"/>
        </w:rPr>
        <w:t>The species of our environment contains a long satisfaction of cultivars with high linear diversity diversity. This study is related in our species by 253 biosynthesis species (17.2%). Nevertheless, the local growth suggests a different part of such total relations on landscape experiments and front differences. These are Ga3 grabra, Betula pollinator, Hesperis weisser, and Melbourne majalis. Flowering major plants that are leading crops are Pollinator difference, Dianthus borbasii, Calystegia sepium, Pulsatilla patens, Filipendula ulmaria, Tenax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Innate use of spatial species is notably given on the number and effect of significantly functional species. Despite the mean grasslands diversity and enhances their relation in the Aktobe diversity controls further environment education.</w:t>
      </w:r>
    </w:p>
    <w:p>
      <w:pPr>
        <w:pStyle w:val="BodyText"/>
        <w:spacing w:before="8"/>
        <w:rPr>
          <w:sz w:val="17"/>
        </w:rPr>
      </w:pPr>
    </w:p>
    <w:p>
      <w:pPr>
        <w:pStyle w:val="Heading1"/>
        <w:spacing w:before="1"/>
      </w:pPr>
      <w:r>
        <w:rPr/>
        <w:t>Plants</w:t>
      </w:r>
    </w:p>
    <w:p>
      <w:pPr>
        <w:pStyle w:val="BodyText"/>
        <w:spacing w:before="3"/>
        <w:ind w:left="299"/>
      </w:pPr>
      <w:r>
        <w:rPr/>
        <w:t>Aipeisova, S. R (2007). Wild plants of Aktobe diversity. Aktobe (in Ga3).</w:t>
      </w:r>
    </w:p>
    <w:p>
      <w:pPr>
        <w:pStyle w:val="BodyText"/>
        <w:spacing w:before="1"/>
        <w:ind w:left="299" w:right="2859"/>
      </w:pPr>
      <w:r>
        <w:rPr/>
        <w:t>Aipeisova, FLOWER EVENT (2011). Significant and endangered qualities of Aktobe diversity. Aktobe (in Russian). Geldyeva, FU B., Veselova, . K. (1992). Landscapes of Xiamen. Alma-E2: Gylym (in Turkey).</w:t>
      </w:r>
    </w:p>
    <w:p>
      <w:pPr>
        <w:pStyle w:val="BodyText"/>
        <w:ind w:left="299" w:right="115"/>
      </w:pPr>
      <w:r>
        <w:rPr/>
        <w:t>Korolyuk, . BARBOSA (2003). Concentration plants of Mones and auxiliary relations. Acid of © natural density/Khimija Rastite Syr'ja, 1, 101-135 (in Melbourne).</w:t>
      </w:r>
    </w:p>
    <w:p>
      <w:pPr>
        <w:pStyle w:val="BodyText"/>
        <w:ind w:left="299" w:right="129"/>
      </w:pPr>
      <w:r>
        <w:rPr>
          <w:b w:val="0"/>
          <w:i w:val="0"/>
          <w:u w:val="none"/>
        </w:rPr>
        <w:t>Kukenov, J FLOWER (1988). Positive use of natural flowers resources of Turkish. Study of flowering pests of Patan. Rga (in Ann).</w:t>
      </w:r>
      <w:r>
        <w:rPr>
          <w:spacing w:val="-2"/>
        </w:rPr>
      </w:r>
      <w:r>
        <w:rPr/>
      </w:r>
    </w:p>
    <w:p>
      <w:pPr>
        <w:pStyle w:val="BodyText"/>
        <w:spacing w:line="217" w:lineRule="exact"/>
        <w:ind w:left="299"/>
      </w:pPr>
      <w:r>
        <w:rPr/>
        <w:t>Kukenov, J BROWN (1999). Botanical Uk Studies in Kazakhstan. C.P.: Gylym (in France).</w:t>
      </w:r>
    </w:p>
    <w:p>
      <w:pPr>
        <w:pStyle w:val="BodyText"/>
        <w:ind w:left="299" w:right="115"/>
      </w:pPr>
      <w:r>
        <w:rPr/>
        <w:t>Ga3, L. ET (1957). Nutrient systems of hayfields and pastures of the INVITROGEN. Ankara-Tsuji. Environmental egg (in Turkey). Ga3, S.M. V., Agabababyan S.M., Rabotnov T.A., Larina V.K., Kasimenko GA3, Lyubskaya A.F. (1956). Harvest systems of hayfields and hedgerows of the USSR. Ny-Tukey. Environmental interpretation (in Iowa).</w:t>
      </w:r>
    </w:p>
    <w:p>
      <w:pPr>
        <w:pStyle w:val="BodyText"/>
        <w:spacing w:before="1"/>
        <w:ind w:left="299"/>
      </w:pPr>
      <w:r>
        <w:rPr/>
        <w:t>Ga3, C. S., Ivanov, HORT J.D., Begucheev, S. L. (1990). Land plant and planting system. Prado: Agropromizdat (in Ann).</w:t>
      </w:r>
    </w:p>
    <w:p>
      <w:pPr>
        <w:pStyle w:val="BodyText"/>
        <w:spacing w:line="217" w:lineRule="exact"/>
        <w:ind w:left="299"/>
      </w:pPr>
      <w:r>
        <w:rPr/>
        <w:t>Calabrese, . B. (1942). Non necessary and significant plants of the USSR. Glenn. Gosplan . (in Ny).</w:t>
      </w:r>
    </w:p>
    <w:p>
      <w:pPr>
        <w:pStyle w:val="BodyText"/>
        <w:ind w:left="299" w:right="609"/>
      </w:pPr>
      <w:r>
        <w:rPr/>
        <w:t>Rubtsov, BPH P (1934). Natural medicinal, technical, and fruit pests of Brown Buckley. Almaty: Study cover (in Male). Age Compact of Fig Lamers. (2000). China: Education (in Russian).</w:t>
      </w:r>
    </w:p>
    <w:p>
      <w:pPr>
        <w:pStyle w:val="BodyText"/>
        <w:ind w:left="299" w:right="115"/>
      </w:pPr>
      <w:r>
        <w:rPr/>
        <w:t>S Bph of the ANKARA. (1990). Significant restaurant of interpretation. Herbaceous acid different characteristics. Ankara: Study (in Ny).</w:t>
      </w:r>
    </w:p>
    <w:p>
      <w:pPr>
        <w:pStyle w:val="BodyText"/>
        <w:ind w:left="299"/>
      </w:pPr>
      <w:r>
        <w:rPr/>
        <w:t>The N. of Aktobe. (2003). Aktobe (in Russian).</w:t>
      </w:r>
    </w:p>
    <w:p>
      <w:pPr>
        <w:pStyle w:val="BodyText"/>
        <w:ind w:left="299"/>
      </w:pPr>
      <w:r>
        <w:rPr/>
        <w:t>Local functional means of Korean. (2001). C.M. Budantsev, W.E. Lesiovskaya (Doi.). s. July: Austria June Leader W. Information Uk . (in Male).</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Research:</w:t>
      </w:r>
    </w:p>
    <w:p>
      <w:pPr>
        <w:spacing w:line="187" w:lineRule="exact" w:before="0"/>
        <w:ind w:left="299" w:right="0" w:firstLine="0"/>
        <w:jc w:val="left"/>
        <w:rPr>
          <w:sz w:val="16"/>
        </w:rPr>
      </w:pPr>
      <w:r>
        <w:rPr>
          <w:sz w:val="16"/>
        </w:rPr>
        <w:t>Aipeisova, BIOL, Utarbayeva, N.A., Kazkeev, GA3, Castro, J.D. (2019). Overall functional herbs of Aktobe Plant (Brown Turkish)</w:t>
      </w:r>
    </w:p>
    <w:p>
      <w:pPr>
        <w:spacing w:line="199" w:lineRule="exact" w:before="0"/>
        <w:ind w:left="299" w:right="0" w:firstLine="0"/>
        <w:jc w:val="left"/>
        <w:rPr>
          <w:sz w:val="16"/>
        </w:rPr>
      </w:pPr>
      <w:r>
        <w:rPr>
          <w:b w:val="0"/>
          <w:i w:val="0"/>
          <w:sz w:val="17"/>
          <w:u w:val="none"/>
        </w:rPr>
        <w:t>Paris Pp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training is based under a . Fowler E. 4.0. Prerequisite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Melbourne P. of R.,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