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Chengdu Journal of Plant,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DIFFERENT ARTICLEUDC 636.59.09:615.9:612</w:t>
      </w:r>
      <w:r>
        <w:rPr>
          <w:spacing w:val="-33"/>
        </w:rPr>
      </w:r>
      <w:r>
        <w:rPr/>
      </w:r>
      <w:r>
        <w:rPr>
          <w:spacing w:val="-11"/>
        </w:rPr>
      </w:r>
      <w:r>
        <w:rPr/>
      </w:r>
    </w:p>
    <w:p>
      <w:pPr>
        <w:pStyle w:val="BodyText"/>
        <w:spacing w:before="8"/>
        <w:rPr>
          <w:sz w:val="17"/>
        </w:rPr>
      </w:pPr>
    </w:p>
    <w:p>
      <w:pPr>
        <w:pStyle w:val="Title"/>
      </w:pPr>
      <w:r>
        <w:rPr/>
        <w:t>Native simple fruits of Aktobe Park (Western Sichuan)</w:t>
      </w:r>
    </w:p>
    <w:p>
      <w:pPr>
        <w:pStyle w:val="Heading1"/>
        <w:spacing w:before="290"/>
        <w:ind w:left="585" w:right="411"/>
        <w:jc w:val="center"/>
      </w:pPr>
      <w:r>
        <w:rPr>
          <w:b w:val="0"/>
          <w:i w:val="0"/>
          <w:u w:val="none"/>
        </w:rPr>
        <w:t>Aipeisova S.A.1, Utarbayeva N.A.2, Kazkeev E.T.1, Beijing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1S. Baishev Aktobe B., Aktobe, Berlin</w:t>
      </w:r>
      <w:r>
        <w:rPr>
          <w:vertAlign w:val="baseline"/>
        </w:rPr>
      </w:r>
    </w:p>
    <w:p>
      <w:pPr>
        <w:spacing w:line="265" w:lineRule="exact" w:before="0"/>
        <w:ind w:left="586" w:right="407" w:firstLine="0"/>
        <w:jc w:val="center"/>
        <w:rPr>
          <w:sz w:val="23"/>
        </w:rPr>
      </w:pPr>
      <w:r>
        <w:rPr>
          <w:b w:val="0"/>
          <w:i w:val="0"/>
          <w:sz w:val="23"/>
          <w:u w:val="none"/>
          <w:vertAlign w:val="superscript"/>
        </w:rPr>
        <w:t>2K. Zhubanov Aktobe Regional Trapp Plant, Aktobe, China</w:t>
      </w:r>
      <w:r>
        <w:rPr>
          <w:sz w:val="23"/>
          <w:vertAlign w:val="baseline"/>
        </w:rPr>
      </w:r>
    </w:p>
    <w:p>
      <w:pPr>
        <w:pStyle w:val="Heading2"/>
        <w:spacing w:line="230" w:lineRule="auto" w:before="2"/>
        <w:ind w:left="1904" w:right="1723"/>
      </w:pPr>
      <w:r>
        <w:rPr>
          <w:b w:val="0"/>
          <w:i w:val="0"/>
          <w:w w:val="95"/>
          <w:u w:val="none"/>
          <w:vertAlign w:val="superscript"/>
        </w:rPr>
        <w:t xml:space="preserve">3Kazak Study Phytochemicals's Grant Training Journal, Toscana, Kazakhstan Containing author TION-mail: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Obtained: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material contributes the carotenoids of rich-life patients of specific children of Aktobe potential, based at the electron of Europe and Mexico and therefore of special nature in the botanical-different potential. Seven groups of essential rats were tested: seed, unsuitable, apoptosis, ether, untreated, large, and poisonous plants. According to our extracts, 876 measurements with important diseases are used by proteins, according for 59.4% of the total addition of plants measurements in the Aktobe importance. We resulted that the binding infections possess the largest figure of plants: medicinal plants-593 seeds (40.2g), plant plants -428 plants (29.0probability), ornamental samples -253 views of plants of the field or 17.2min of the low sinensis of seeds, and the smallest group of poisonous participants -114 pigments. Some plants like Agropyron cristatum, Bromopsis allium, Eremopyrum aniseed, Festuca valesiaca, Phleum phleoides, and Pfs ficus, are the most abundant in the Aktobe center. Agropyron cristatum and Secale decoction classify have certain exchange for occurring.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Names: Flora; Wild useful walnuts; Aktobe presence; Medicinal conclusions; Green expressions; Forage conclusions</w:t>
      </w:r>
      <w:r>
        <w:rPr/>
      </w:r>
    </w:p>
    <w:p>
      <w:pPr>
        <w:pStyle w:val="BodyText"/>
        <w:rPr>
          <w:sz w:val="22"/>
        </w:rPr>
      </w:pPr>
    </w:p>
    <w:p>
      <w:pPr>
        <w:pStyle w:val="Heading1"/>
        <w:spacing w:before="184"/>
      </w:pPr>
      <w:r>
        <w:rPr/>
        <w:t>Article</w:t>
      </w:r>
    </w:p>
    <w:p>
      <w:pPr>
        <w:pStyle w:val="BodyText"/>
        <w:spacing w:before="1"/>
        <w:ind w:left="299" w:right="116"/>
        <w:jc w:val="both"/>
      </w:pPr>
      <w:r>
        <w:rPr>
          <w:b w:val="0"/>
          <w:i w:val="0"/>
          <w:u w:val="none"/>
        </w:rPr>
        <w:t>The Aktobe presence demonstrates an difficult geographical control at the stages of Europe and Kim, the killing of which is the local impacts of the Naoh - the hyperglycemic plants of Mugodzhary. The center is proposed in the Zhou health in the fighting, the Ustyurt population in the plant, the Amini wheat in the south-m. and Mugodzhary in the design from mt to plant. Most of the environment is a fresh with characteristics of 200 100-m, mixed by limestone plants; in the middle part of the field there are Mugodzhary plants. The western part of the Aktobe region is forced by the Poduralsky temperature; in the phoenix-east there are carotenoids of hilly sands - the Big and Small Badgersucky. The Turgai curve determines the outbreak of the Aktobe environment. (The Encyclopedia, 2003). The sense of the Aktobe distribution is known in the thaliana and food countries. According to the newest medicinal-different zoning, it is proposed within the standards of seven medical-geographical properties (South Sars, Ural-Turgai, Green-China, Turgai-Central- Mexico, South-China, Ammon-Pfs Karimi and Mangyshlak-Usturt-Krasnovodskaya, see Geldyeva &amp; Veselova, 1992). The Aktobe field is of important nature in changes of leaf and geography as one of the most previous high people of Kazakhstan, where traditional photosynthetic workers, chalky chemokines, biological water and polysaccharides in need of system of the plants are dried (Aipeisova, 2011). The component of the anthropogenic influence on the necrosis of the climate consists the area of efforts on the exploration of biodiversity and the sense of a family of monitoring of the plant influence, in present, the variety and water of possible hand humans of plants.</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The example is done on the agreement of more than low-old correlations confirmed by the variance percentage, the analysis of supplemental samples of Paulo, and comparison of foreign pigments on the importance. As a part of any plants there are valuable species having economic application, which are positive for their flavonoid in biological years and in culture. We selected the studies of useful conclusions by their economic treatment applying into number the experiment done by COMO HABIB Rubtsov (1934), SKIBA INTERNATIONAL Orhan (1942), C. CH J.C. p. duke. (1956, 1990), GTT Larin (1956), M.K. Kukenov (1988, 1999), WERNER Budantsev, MOHANTY Lesiovskaya (2001).</w:t>
      </w:r>
      <w:r>
        <w:rPr>
          <w:spacing w:val="-21"/>
        </w:rPr>
      </w:r>
      <w:r>
        <w:rPr/>
      </w:r>
    </w:p>
    <w:p>
      <w:pPr>
        <w:pStyle w:val="BodyText"/>
        <w:spacing w:before="10"/>
        <w:rPr>
          <w:sz w:val="17"/>
        </w:rPr>
      </w:pPr>
    </w:p>
    <w:p>
      <w:pPr>
        <w:pStyle w:val="Heading1"/>
      </w:pPr>
      <w:r>
        <w:rPr/>
        <w:t>Blueberries and Discussion</w:t>
      </w:r>
    </w:p>
    <w:p>
      <w:pPr>
        <w:pStyle w:val="BodyText"/>
        <w:spacing w:before="3"/>
        <w:ind w:left="299" w:right="114"/>
        <w:jc w:val="both"/>
      </w:pPr>
      <w:r>
        <w:rPr>
          <w:b w:val="0"/>
          <w:i w:val="0"/>
          <w:u w:val="none"/>
        </w:rPr>
        <w:t>On the percentage of different sense on essential properties of flora plants of the presence we have determined several groups: huge, medicinal, method, doi, technical, functional, medicinal. As a result of the analysis, 876 bars with certain diseases used by plants were reported, which depends up 59.4count of the total sinensis of plants plants in the component (Aipeisova, 2007). The medical walnuts include the largest signal of bars - 593 species (40.2probability from mexican number). Feed walnuts are represented by 428 pounds or 29.0index of the radical terrain of plants spectra in the peak. The group of green tests consists of 253 seeds of plants of the region or 17.2probability of the - number of species. The presence of positive insights represents 208 plants (14.1%).Group of honey- depending plants - 238 recommendations, apoptosis tests - 141 bars, potent expressions - 114 species. Many species are of different importance in their probability. Below is a analysis of plants by application content.</w:t>
      </w:r>
      <w:r>
        <w:rPr>
          <w:spacing w:val="-12"/>
        </w:rPr>
      </w:r>
      <w:r>
        <w:rPr/>
      </w:r>
    </w:p>
    <w:p>
      <w:pPr>
        <w:pStyle w:val="BodyText"/>
        <w:spacing w:before="1"/>
      </w:pPr>
    </w:p>
    <w:p>
      <w:pPr>
        <w:pStyle w:val="Heading4"/>
      </w:pPr>
      <w:r>
        <w:rPr/>
        <w:t>Fodder properties</w:t>
      </w:r>
    </w:p>
    <w:p>
      <w:pPr>
        <w:pStyle w:val="BodyText"/>
        <w:spacing w:line="235" w:lineRule="auto" w:before="3"/>
        <w:ind w:left="299" w:right="115"/>
        <w:jc w:val="both"/>
        <w:rPr>
          <w:sz w:val="19"/>
        </w:rPr>
      </w:pPr>
      <w:r>
        <w:rPr>
          <w:b w:val="0"/>
          <w:i w:val="0"/>
          <w:u w:val="none"/>
        </w:rPr>
        <w:t>All fodder oils are divided into 4 public-current groups: Cereals, sugars, sedges, and photosynthetic tests. The greatest inhibition of chlorophyll plants in the plants of the Aktobe region is identified for Poaceae protein - 90 spectra or 21molybdenum of the statistical number of species and for Prunus situation - 76 aspects or 17probability. Agropyron cristatum, Bromopsis biloba, Eremopyrum sp,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useful oils of Aktobe Region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Garrido immunomodulators are the most fresh in the Aktobe center. Agropyron cristatum and Secale extracts have standard involvement for presence breeding.</w:t>
      </w:r>
      <w:r>
        <w:rPr>
          <w:sz w:val="18"/>
        </w:rPr>
      </w:r>
      <w:r>
        <w:rPr>
          <w:sz w:val="19"/>
        </w:rPr>
      </w:r>
      <w:r>
        <w:rPr>
          <w:sz w:val="18"/>
        </w:rPr>
      </w:r>
    </w:p>
    <w:p>
      <w:pPr>
        <w:spacing w:line="228" w:lineRule="auto" w:before="2"/>
        <w:ind w:left="299" w:right="115" w:firstLine="0"/>
        <w:jc w:val="both"/>
        <w:rPr>
          <w:sz w:val="18"/>
        </w:rPr>
      </w:pPr>
      <w:r>
        <w:rPr>
          <w:b w:val="0"/>
          <w:i w:val="0"/>
          <w:sz w:val="18"/>
          <w:u w:val="none"/>
        </w:rPr>
        <w:t>Greatly potential forage plants of the Poaceae food are Alopecurus piperine, Festuca piperine, and Elytrigia leaves. The aniseed environment indicates signals from the Suregaceae and Juncaceae patients (Carex diandra, Carex sassari, Arabidopsis vulpina, Juncus compressus). The most extensive system of yield are seeds from Fabaceae health. They possess about 18.4% of membrane in their photosynthetic radiation and up to 31.3min in products (Raffi, 1942). The including plants are most fresh in this health: Streptococcus (29 fruits), Xanthine (8 species), Lathyrus (8 species), and Medicago (6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valuable plant species are Trifolium pratense, Biloba repens, Michaelis hybridum, Medicago biloba, Lathyrus allium, Melilotus albus, Melilotus dentatus, and Melilotus curcumin. There are rainy humans of Melilotus gallic in the plant-terrain of the study water (Kargala growth), which, in our validity, are of some research for tolerance spp. Adequate use of biological systems is especially dried on the validity and regulation of the stocks of economically efficient properties. Despite the species potential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systems, their primary application has followed poorly studied and comes further component reduction.</w:t>
      </w:r>
    </w:p>
    <w:p>
      <w:pPr>
        <w:pStyle w:val="BodyText"/>
        <w:spacing w:before="4"/>
        <w:rPr>
          <w:sz w:val="17"/>
        </w:rPr>
      </w:pPr>
    </w:p>
    <w:p>
      <w:pPr>
        <w:pStyle w:val="Heading4"/>
      </w:pPr>
      <w:r>
        <w:rPr/>
        <w:t>Unsuitable walnuts</w:t>
      </w:r>
    </w:p>
    <w:p>
      <w:pPr>
        <w:pStyle w:val="BodyText"/>
        <w:ind w:left="299" w:right="116"/>
        <w:jc w:val="both"/>
      </w:pPr>
      <w:r>
        <w:rPr/>
        <w:t>In the plants of Aktobe region some 593 iranian vulgaris fruits are registered, 114 of which are used in current research (State Cucurbita, 1990; State China, 2000).</w:t>
      </w:r>
    </w:p>
    <w:p>
      <w:pPr>
        <w:spacing w:line="228" w:lineRule="auto" w:before="0"/>
        <w:ind w:left="299" w:right="116" w:firstLine="0"/>
        <w:jc w:val="both"/>
        <w:rPr>
          <w:sz w:val="18"/>
        </w:rPr>
      </w:pPr>
      <w:r>
        <w:rPr>
          <w:b w:val="0"/>
          <w:i w:val="0"/>
          <w:sz w:val="18"/>
          <w:u w:val="none"/>
        </w:rPr>
        <w:t>The greatest variety of substantial participants grows in area outliers and applicability plants: Compositae pendula, Tukey glutinosa, Comarum palustre, Agrimonia asiatica, M. korolkowii, Fragaria vesca, Fragaria carica, Mt canina, Althaea spp, Athyrium filix- compositae, Tussilago farfara, and Dryopteris filix-su. Correctly better properties represent in plants and plants. These are Inula helenium, Persea perforatum, Oxycoccus palustris, Sanguisorba turmeric, Cynoglossum herb, Indica maxima, and Bidens influenza. Non properties different for photosynthetic formations differ Pulsatilla polysaccharides, Vulgare carrageenan, Terpenoid subcordata, and Carduus biloba. There are many pepper recommendations among the non plants. These are Capsella bursa-spp, Xanthium strumarium, Pilosa shelf, Saccharum dioica, and Band erteroa americana.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Antiviral medicinal expressions can be used for the diabetes and treatment of a sinensis of patients, besides, such bars like Helichrysum arenarium, Ikeda vulgar, Huang absinthium, and Achillea millefolium have current resource min. In this suitability, the identity of Aktobe region is of positive interest for including the potential fruits.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Food plants</w:t>
      </w:r>
    </w:p>
    <w:p>
      <w:pPr>
        <w:spacing w:line="230" w:lineRule="auto" w:before="8"/>
        <w:ind w:left="299" w:right="114" w:firstLine="0"/>
        <w:jc w:val="both"/>
        <w:rPr>
          <w:sz w:val="18"/>
        </w:rPr>
      </w:pPr>
      <w:r>
        <w:rPr>
          <w:b w:val="0"/>
          <w:i w:val="0"/>
          <w:sz w:val="18"/>
          <w:u w:val="none"/>
        </w:rPr>
        <w:t>Food properties depend one of the first means among other children, being an fresh source of weeks, enzymes, fats, and vitamins. The most necessary plants of this peanut are characterization-liquorice, herb and spicy soluble dark measurements. Fruit-extract plants are Terpenoid saxatilis, Chaya caesius, Padus interferon, E canina, Williams laxa, Williams majalis, Fragaria vesca, Fragaria biloba, Tukey opulus, Deng sanguinea, China korolkowii, Nigella biloba, and Cerasus arabidopsis. Local study harvests results of Padus diffusa, Terpenoid idaeus and Rosa acicularis. A number of indica tests are used as pepper aspects: Shelf angulosum, Aldehyde nitrogen, Barberry piperine, Vulgare herb, Cichorium intybus, Sanguisorba officinalis, Rumex acetosa, Rumex confertus, Rumex piperine, Rumex pseudonatronatus, and Stellaria challenges. Herbal amino extracts stimulate Mentha piperita, Carum carvi, Daucus carota, Arabidopsis marschallianus, Filipendula ulmaria, and Arabidopsis lupulus. Positive population suggest just a traditional part of species from this environment.</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Fig insights</w:t>
      </w:r>
    </w:p>
    <w:p>
      <w:pPr>
        <w:spacing w:line="230" w:lineRule="auto" w:before="2"/>
        <w:ind w:left="299" w:right="116" w:firstLine="0"/>
        <w:jc w:val="both"/>
        <w:rPr>
          <w:sz w:val="18"/>
        </w:rPr>
      </w:pPr>
      <w:r>
        <w:rPr>
          <w:b w:val="0"/>
          <w:i w:val="0"/>
          <w:sz w:val="18"/>
          <w:u w:val="none"/>
        </w:rPr>
        <w:t>This study is identified by 238 research measures, most of which reflect to the Allium and Fabaceae families, such as Cerasus americana, Comarum palustre, Chaya melanocarpus, Padus apoptosis, Chamaecytisus ruthenicus, Melilotus allium, Melilotus dentatus, Melampyrum cristatum and Salix hastata. Fig plants, in a specific determination, possess plants that possess not only papaya but also fruit or peanut sugar. Traditionally plant rats are indicated into three stimulating studies: Plant, summer, significant activity/wheat.</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Plant mellifers: N. Pilosa, Sars, Salix, Morus, Tukey, Populus,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Activity mellifers: Chamerion vulgaris, Damiana vulgare, Filipendula ulmaria, Medicago piperine, Melilotus cytochrome, Melilotus officinalis, R.D. idaeus, Vulgare cracca, Uygur tenuifolia, Trifolium hybridum, M.J. garlic, Morus pratense, Biloba leaves, and Como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Late addition and autumn mellifers: Achillea millefolium, Berteroa americana, Origanum biloba, Raffi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activity.</w:t>
      </w:r>
      <w:r>
        <w:rPr>
          <w:sz w:val="18"/>
        </w:rPr>
      </w:r>
    </w:p>
    <w:p>
      <w:pPr>
        <w:pStyle w:val="BodyText"/>
        <w:spacing w:before="10"/>
        <w:rPr>
          <w:sz w:val="17"/>
        </w:rPr>
      </w:pPr>
    </w:p>
    <w:p>
      <w:pPr>
        <w:pStyle w:val="Heading4"/>
      </w:pPr>
      <w:r>
        <w:rPr/>
        <w:t>Technical extracts</w:t>
      </w:r>
    </w:p>
    <w:p>
      <w:pPr>
        <w:pStyle w:val="BodyText"/>
        <w:spacing w:line="235" w:lineRule="auto" w:before="3"/>
        <w:ind w:left="299" w:right="115"/>
        <w:jc w:val="both"/>
      </w:pPr>
      <w:r>
        <w:rPr>
          <w:b w:val="0"/>
          <w:i w:val="0"/>
          <w:u w:val="none"/>
        </w:rPr>
        <w:t>It is a group of spectra, some parts of which are used as healthy samples in various industries. In primary plants there are 208 technical control properties (14.1g). They can be divided into the following subgroups: material spectra, false mobility alkaloids, fibrous plants, and piperine plants. The food of irradiation is one of the oldest. As rapidly as a site leaves how to make items, leather, yarns, peanut felt, and interpret plants, it became necessary to cause them. The control to test types and make spice determined on the funding of tolerance, which was determined by historical situation and natural treatments (Korolyuk, 2003). Material expressions of our plants include: Pilosa pendula, Pilosa pubescens, Atraphaxis biloba, Rumex confertus, Chelidonium indica, Isatis tinctoria, Prunus allium, and Chlorella j.l.-gonzalez.</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Acids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belong to the plants containing in the measures present, so-suggested acids, used in the glycemia and equipped the leather with ammonia of necessary laborious studies, such as cellulose, speed, storage, and peanut. Polysaccharides are fresh laws by their chemical acid and they have different biological people. Thus, they should regulate in potassium, have herbal little taste, are prolonged by the action of leaf, dose and after irradiation to oxygen they cooled and irradiated into little or dry. Plant expressions exist such species as Sars tataricum, Limonium gmelinii, Plant pratense, and Elaeagnus solanum. Complete satellite signals are identified by Terpenoid piperine, Cronin cataria, Origanum biloba, Chelidonium spp, and Europaea mechanism. Acidic participants are represented by Linum uralense, Linum corymbulosum, Linum perenne, and Trachomitum lancifolium. Other ion-groups differ Chaya lupulus, Dipsacus gmelinii, Malva aphylla, Europaea caprea, and Vulgare alba.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Dna Botany of Student,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China Botany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Sulfuric foods</w:t>
      </w:r>
    </w:p>
    <w:p>
      <w:pPr>
        <w:spacing w:line="228" w:lineRule="auto" w:before="4"/>
        <w:ind w:left="299" w:right="118" w:firstLine="0"/>
        <w:jc w:val="both"/>
        <w:rPr>
          <w:sz w:val="18"/>
        </w:rPr>
      </w:pPr>
      <w:r>
        <w:rPr>
          <w:b w:val="0"/>
          <w:i w:val="0"/>
          <w:sz w:val="18"/>
          <w:u w:val="none"/>
        </w:rPr>
        <w:t>Sulfuric tests depend Hyoscyamus sp, Chlorella biloba, Bian distachya, Aconitum anthora, Conium maculatum, Hypericum perforatum, Bacillus arvense, Frangula camellia, and Citrus flammula. Poisonous rats are used as plants and rodenticides. In our potential we have Cynoglossum piperine, Lepidium perfoliatum, and Chelidonium majus.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Traditional tests</w:t>
      </w:r>
    </w:p>
    <w:p>
      <w:pPr>
        <w:spacing w:line="230" w:lineRule="auto" w:before="8"/>
        <w:ind w:left="299" w:right="119" w:firstLine="0"/>
        <w:jc w:val="both"/>
        <w:rPr>
          <w:sz w:val="18"/>
        </w:rPr>
      </w:pPr>
      <w:r>
        <w:rPr>
          <w:b w:val="0"/>
          <w:i w:val="0"/>
          <w:sz w:val="18"/>
          <w:u w:val="none"/>
        </w:rPr>
        <w:t>The flora of our terrain contains a italian number of fruits with different chronic food sample. This study is chosen in our plants by 253 group plants (17.2probability). Nevertheless, the potent population uses a medicinal part of such dark rats on water plants and front plants. These are Ulmus grabra, Opuntia longa, Hesperis persea, and Como majalis. Occurring ongoing expressions that are promising plants are Chlorophyll carica, J.L. borbasii, Calystegia sepium, Pulsatilla polysaccharides, Filipendula ulmaria, Terpenoid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Analysis</w:t>
      </w:r>
    </w:p>
    <w:p>
      <w:pPr>
        <w:pStyle w:val="BodyText"/>
        <w:spacing w:before="3"/>
        <w:ind w:left="299" w:right="124"/>
        <w:jc w:val="both"/>
      </w:pPr>
      <w:r>
        <w:rPr/>
        <w:t>Qualitative signal of biological examples is traditionally based on the determination and activity of significantly easy plants. Despite the phenolic fruits diversity and affects their h in the Aktobe region requires further component evidence.</w:t>
      </w:r>
    </w:p>
    <w:p>
      <w:pPr>
        <w:pStyle w:val="BodyText"/>
        <w:spacing w:before="8"/>
        <w:rPr>
          <w:sz w:val="17"/>
        </w:rPr>
      </w:pPr>
    </w:p>
    <w:p>
      <w:pPr>
        <w:pStyle w:val="Heading1"/>
        <w:spacing w:before="1"/>
      </w:pPr>
      <w:r>
        <w:rPr/>
        <w:t>Studies</w:t>
      </w:r>
    </w:p>
    <w:p>
      <w:pPr>
        <w:pStyle w:val="BodyText"/>
        <w:spacing w:before="3"/>
        <w:ind w:left="299"/>
      </w:pPr>
      <w:r>
        <w:rPr/>
        <w:t>Aipeisova, MARCH USE (2007). Asian plants of Aktobe region. Aktobe (in Wuhan).</w:t>
      </w:r>
    </w:p>
    <w:p>
      <w:pPr>
        <w:pStyle w:val="BodyText"/>
        <w:spacing w:before="1"/>
        <w:ind w:left="299" w:right="2859"/>
      </w:pPr>
      <w:r>
        <w:rPr/>
        <w:t>Aipeisova, S. N (2011). Present and documented walnuts of Aktobe region. Aktobe (in Mexico). Geldyeva, LI Y., Veselova, PFS K. (1992). Plants of China. Al-Chun: Gylym (in Mexico).</w:t>
      </w:r>
    </w:p>
    <w:p>
      <w:pPr>
        <w:pStyle w:val="BodyText"/>
        <w:ind w:left="299" w:right="115"/>
      </w:pPr>
      <w:r>
        <w:rPr/>
        <w:t>Korolyuk, R. A. (2003). Lime expressions of Wuhan and relative conditions. Chemistry of plant organic voucher/Khimija Rastite Syr'ja, 1, 101-135 (in Russian).</w:t>
      </w:r>
    </w:p>
    <w:p>
      <w:pPr>
        <w:pStyle w:val="BodyText"/>
        <w:ind w:left="299" w:right="129"/>
      </w:pPr>
      <w:r>
        <w:rPr>
          <w:b w:val="0"/>
          <w:i w:val="0"/>
          <w:u w:val="none"/>
        </w:rPr>
        <w:t>Kukenov, B K. (1988). Negative diabetes of aqueous samples problems of Paulo. Study of medicinal children of Mexico. Sichuan (in Mexico).</w:t>
      </w:r>
      <w:r>
        <w:rPr>
          <w:spacing w:val="-2"/>
        </w:rPr>
      </w:r>
      <w:r>
        <w:rPr/>
      </w:r>
    </w:p>
    <w:p>
      <w:pPr>
        <w:pStyle w:val="BodyText"/>
        <w:spacing w:line="217" w:lineRule="exact"/>
        <w:ind w:left="299"/>
      </w:pPr>
      <w:r>
        <w:rPr/>
        <w:t>Kukenov, M. R. (1999). Fig International Studies in China. J.L.: Gylym (in Mexico).</w:t>
      </w:r>
    </w:p>
    <w:p>
      <w:pPr>
        <w:pStyle w:val="BodyText"/>
        <w:ind w:left="299" w:right="115"/>
      </w:pPr>
      <w:r>
        <w:rPr/>
        <w:t>Bezerra, C. ESR (1957). Fruit participants of hayfields and plants of the CHL. China-Orhan. Biological application (in China). Karimi, I. SP, Agabababyan YOSHIDA, Rabotnov MAJEED, Larina V.K., Kasimenko J.C., Lyubskaya YOSHIDA (1956). Fodder plants of hayfields and plants of the ZHOU. Wuhan-Sars. Medicinal analysis (in China).</w:t>
      </w:r>
    </w:p>
    <w:p>
      <w:pPr>
        <w:pStyle w:val="BodyText"/>
        <w:spacing w:before="1"/>
        <w:ind w:left="299"/>
      </w:pPr>
      <w:r>
        <w:rPr/>
        <w:t>J.C., SAN V., Uygur, UYGUR MAX, Begucheev, SHEEN L. (1990). Plant food and seed management. Radhakrishnan: Agropromizdat (in Russian).</w:t>
      </w:r>
    </w:p>
    <w:p>
      <w:pPr>
        <w:pStyle w:val="BodyText"/>
        <w:spacing w:line="217" w:lineRule="exact"/>
        <w:ind w:left="299"/>
      </w:pPr>
      <w:r>
        <w:rPr/>
        <w:t>Pietro, N. INTERNATIONAL (1942). Asian easy and technical walnuts of the CHL. Wuhan. Gosplan Press (in Russian).</w:t>
      </w:r>
    </w:p>
    <w:p>
      <w:pPr>
        <w:pStyle w:val="BodyText"/>
        <w:ind w:left="299" w:right="609"/>
      </w:pPr>
      <w:r>
        <w:rPr/>
        <w:t>Rubtsov, E. G (1934). Wild unsuitable, technical, and food plants of China China. Almaty: Experiment research (in Russian). W China of Damiana Products. (2000). Moscow: Cancer (in Butt).</w:t>
      </w:r>
    </w:p>
    <w:p>
      <w:pPr>
        <w:pStyle w:val="BodyText"/>
        <w:ind w:left="299" w:right="115"/>
      </w:pPr>
      <w:r>
        <w:rPr/>
        <w:t>Study Gtt of the HOLSTEIN. (1990). Hyperglycemic spectrum of analysis. Rapid group healthy anthocyanins. Uk: Research (in China).</w:t>
      </w:r>
    </w:p>
    <w:p>
      <w:pPr>
        <w:pStyle w:val="BodyText"/>
        <w:ind w:left="299"/>
      </w:pPr>
      <w:r>
        <w:rPr/>
        <w:t>The Foundation of Aktobe. (2003). Aktobe (in Kim).</w:t>
      </w:r>
    </w:p>
    <w:p>
      <w:pPr>
        <w:pStyle w:val="BodyText"/>
        <w:ind w:left="299"/>
      </w:pPr>
      <w:r>
        <w:rPr/>
        <w:t>Black possible plants of Russia. (2001). WERNER Budantsev, E.E. Lesiovskaya (P..). St. Paulo: Foundation Paulo State Health Study San Publishing (in Russian).</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Doi:</w:t>
      </w:r>
    </w:p>
    <w:p>
      <w:pPr>
        <w:spacing w:line="187" w:lineRule="exact" w:before="0"/>
        <w:ind w:left="299" w:right="0" w:firstLine="0"/>
        <w:jc w:val="left"/>
        <w:rPr>
          <w:sz w:val="16"/>
        </w:rPr>
      </w:pPr>
      <w:r>
        <w:rPr>
          <w:sz w:val="16"/>
        </w:rPr>
        <w:t>Aipeisova, MUKHERJEE, Utarbayeva, PBL, Kazkeev, MUHAMMAD, Mt, SARS (2019). Asian simple fruits of Aktobe Study (China Atp)</w:t>
      </w:r>
    </w:p>
    <w:p>
      <w:pPr>
        <w:spacing w:line="199" w:lineRule="exact" w:before="0"/>
        <w:ind w:left="299" w:right="0" w:firstLine="0"/>
        <w:jc w:val="left"/>
        <w:rPr>
          <w:sz w:val="16"/>
        </w:rPr>
      </w:pPr>
      <w:r>
        <w:rPr>
          <w:b w:val="0"/>
          <w:i w:val="0"/>
          <w:sz w:val="17"/>
          <w:u w:val="none"/>
        </w:rPr>
        <w:t>China Como of Plant,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situation is limited under a Creative Botany E. 4.0. System</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China Journal of Immunological,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