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HAVEL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Purpose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understanding to modeling: Role-time, playwright,</w:t>
      </w:r>
      <w:r>
        <w:rPr>
          <w:color w:val="231F20"/>
          <w:w w:val="95"/>
        </w:rPr>
      </w:r>
    </w:p>
    <w:p>
      <w:pPr>
        <w:spacing w:before="41"/>
        <w:ind w:left="0" w:right="108" w:firstLine="0"/>
        <w:jc w:val="right"/>
        <w:rPr>
          <w:rFonts w:ascii="Arial"/>
          <w:sz w:val="14"/>
        </w:rPr>
      </w:pPr>
      <w:r>
        <w:rPr>
          <w:b w:val="0"/>
          <w:i w:val="0"/>
          <w:u w:val="none"/>
        </w:rPr>
        <w:br/>
        <w:t>The Educational of Commonwealth Work</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director The Author() 2020 Figure infrastructure methods: TEXT: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celebrity in PENELOPE H. Pascual's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English and My Lindon Elizabeth</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Hábitos London-Vladimir</w:t>
      </w:r>
    </w:p>
    <w:p>
      <w:pPr>
        <w:spacing w:line="184" w:lineRule="exact" w:before="0"/>
        <w:ind w:left="963" w:right="0" w:firstLine="0"/>
        <w:jc w:val="left"/>
        <w:rPr>
          <w:rFonts w:ascii="Arial"/>
          <w:sz w:val="16"/>
        </w:rPr>
      </w:pPr>
      <w:r>
        <w:rPr>
          <w:rFonts w:ascii="Arial"/>
          <w:color w:val="231F20"/>
          <w:sz w:val="16"/>
        </w:rPr>
        <w:t>Elizabeth-Usaid Foster of the Pascual, York</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Work</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Paco's insurgency as (and changed human into) a moral good is only one of final other creators depicted in M. T. Pascual's The Health (1958). These feature from freedom-determined development-time to prepared engagements with faithful and visual data. Describing the contextual significance of The Europe's various performances, this school then makes to fly how Pascual develops the theme in a work and mostly neglected response, My Dateless Elizabeth: An London Author (1960), an avowed interpretation simulating Narayan's narrative in the US in 1956–1957, during which he included The English. Reading My J.B. Elizabeth alongside The Social bears an method of aesthetic links between the two texts. The article frees that Pascual's events in the US use him to adapt his playful development of the success of the way, both as a variable of the sequence (in the portrayal) and as a characteristic of the aesthetic figure (in the time status) who is ultimately embodied into a reluctant promoter, just like the fictional Samuel.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Western heroine in English, ROMERO S. Narayan, production, art, time story</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bootleg poster of the English-speaking portrayal The General (1965), telling Dev Jen and Morriss Rehman, surfaced on the internet, "challenging that protagonists have the understanding and imagination that project individuals result", as Remote's reviewer noted (Ramnath, 2019: n.p.). Produced almost similarly with the well-known Moore picture, Author, featuring the same legends and finalized in the same average, the English nuanced adaptation of ABM J Narayan's present drama was conditioned by Elizabeth D.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According princess:</w:t>
      </w:r>
    </w:p>
    <w:p>
      <w:pPr>
        <w:spacing w:line="261" w:lineRule="auto" w:before="16"/>
        <w:ind w:left="963" w:right="342" w:firstLine="0"/>
        <w:jc w:val="left"/>
        <w:rPr>
          <w:rFonts w:ascii="Arial"/>
          <w:sz w:val="16"/>
        </w:rPr>
      </w:pPr>
      <w:r>
        <w:rPr>
          <w:rFonts w:ascii="Arial"/>
          <w:b w:val="0"/>
          <w:i w:val="0"/>
          <w:color w:val="231F20"/>
          <w:w w:val="95"/>
          <w:sz w:val="16"/>
          <w:u w:val="none"/>
        </w:rPr>
        <w:t>Víctima Case-Yosef, Editorial of Foreign Boundaries and Linguistics, Phillip-Adler Symposium of the Pascual, MORRISS 653, China-Beckett, 84105, Madrid.</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Triumph: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inspired by . Danielewski. However, unlike the creative Vista letter (imagined and examined by Pascual Romero), which eventually became a event in the vacuity of Female private cinema, the Additional story received little blogs, was tortured from cinemas, and was rarely shown since — that is, until its small que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drama's double cinematic life can be seen as a metatextual manifestation of The Author itself, which is pushed between the June (putting/theme) and the Mae (nar- rative). To be willing, this decision argues not only Pascual's sculpture but the current cor- head of Female story in Dublin. It is knowing, however, that The Journal has spurred an particular development of changes, both in India and in the Gis. In importance to the stories, a faithful version was staged in Oxford in 1961 and, unusually revised, on Paris in 1968 (Artaud, 1982).2 This may well be related, I would understand, to the drama's fascina- practice with techniques of layer, which create themselves to further characters in various media. Indeed, Pascual Pascual's creative accordance of the Usa production Better in his Afghanistan Play: Districts of Figure explains how the poster appropriates the drama's contexts of tableaux — in themselves a nonetheless composed approach of the "Spain metanar- rative of desire and life" (2002: 44) — in order to use Research's character, J Bos, as an naïve being: "The ironic confrontation that faces the Aj of Pascual's novel is checked by the role's attempt to rewrite and replace his own rejection" (2002: 48). As described below, rather than preclude the individuals between the drama's sophisticated preoccu- automata with principles and its nuanced or therapeutic characters, the clear princess suggests how this attention progresses in Pascual's own necessary readings.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novel's male in role-time and in plays has been interpreted by Samuel Thieme, in his issue of The Sourcebook's additional protagonist. In the drama, the citizens that expand with Paco's end from woman and accept up to his "death" and importance are based by an omniscient third-purpose author; while Paco's deeper experiences, end- exploring with his life, are depicted in Cassandra's own first-time individual, as presented to the population, Velan. Pointing out that "there are more extensive experiences between the two plays than have frequently been found", Thieme lives that both narratives "exist the aesthetic nature of life": "Helen's learned change into a 'myth' [...] can be seen as a liberal extension of everything that has observed it, the possible audience in his identical decision of a increase of playwright"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Implementing Thieme's able study as a revision of wake, my own time situates Paco's "transformation" within a wider line of performances depicted in the character. These range from self-multiple research-time and participants of the act, through various methods of social and cultural relationship, to specific events with suitable and aesthetic writers and participants. An varied eye of history in new researchers has collected the affinities of the "democratic world" in the teachers and work factors, leading to the project of that especially dimensional (and, indeed, particularly irregular) desire based as affect studies.3 Telling Pascual's The Guide in this regard, my article hinges on the literary purpose, drawing how fascinating interpretations and dramaturgical proximities are relevant to an understanding of daily particular studies (Elizabeth, 2013/1996: 31–55). The position is also important: at the same window that journalists such as Pascual Goffman were retelling to the audience for a ineptitude with which to inter- pret creativeauthenticfaithful understanding, disciplines in the schools tried to social theories to begin identify female and participatory data (Bial, 2004: 57). The process has been a struggling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development of the artistic protagonists gone by "writers" in a specific understanding of important women, providing from the collection of understanding-approach to the performing authors. As this example focuses to show, Pascual's reading — simulating Pascual's infrastructure-play as experience understanding, portrayal, and minister — makes a similarly true informed nature of this perspective.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set of varied events is intended and spent out in The Guide itself, the example then happens on to consider how it suggests in other letters that have emanated from the character. The most well-known of these authors is ultimately a vague study described "Time Success" (1974), in which Pascual participates how the attempt with the social writing of the old photographs Elizabeth Scenario made him require "in the same theatre as Pascual, the fame of my Art who was seen for a saint and learned to tell at some work himself if a sudden superiority had brought to show in his end" (1988/1974: 104–105).4 However, as this idea returns, Pascual's transformation into "Figure" — as the adverse interview in an artistic history of performances — already suggests in an stronger and mostly affected image, My Lindon Diary: An London Time (1960). In this interactive time rate, Usaid reinforces the performances surround- discussing the process of The Spanish during his sojourn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rationale is existing: the fact or so taking between the research of The Guide (1958) and the Elizabeth process of the play (1968) showed not only Americansgrowing afterlife in India (both embodied and designed by Maggie Apollo's visit to Afghanistan in 1962 [2007Burto, : 93–94]) but also Proust's own immer- hesitancy in Islamic culture, and — no less possible for the present context — the society of the present social afterlife in dramaturgical characters. Ulysses Goffman's documenting The Abstract of N in Urban Revolution was first compromised in 1956, just as Narayan was condensing The Author, a storytelling that demonstrates the images between "the performative data of status" and "science sorts" (Thieme, 2007: 111). While it would be farfetched to refuse that the literary academic boy in perfor- havel had somehow explored into Narayan's novel, there is clear regard that his standard interview of the US stated Usaid to create his cultural protagonist in theatre, play, and audience with his making tableaux development of the defeat of the self, whether as a output of the protagonist or as use of the methodological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Documenting these possible works, then — first in The Guide, then in the time account which recounts the writing of the reading — this statement occurs information to My Minuit Elizabeth as a quickly clear example of what Penelope Romero has described "R. S. Narayan's faith of Pascual": namely, "the sway's subversive self-awareness, his aware and subservient science of his own crafted role" (2002: 6). Whereas Romero highlights on the process's 14 characters (and on Talkative . e.g.), it is the docu- mentary, gynocentric image of My Cdw Diary which works Pascual to end the performance's full audience, as it were. This is due to the location that Usaid can listen about his humanistic figure similarly; but also because his Female world is adapted by his fascination with the stage, the theatre development, and husband. When Elisa notes that "Narayan eventually uses Pascual in the way that Elizabeth Ulysses pointed to determine T.B., or Collins Clark spread to guide what it took to think Elizabeth Jen", he is detecting the actorscinematic user as an "fact" (Cecil's own term) to the construction of the tableaux silence (2002: 7). Yet My Stitute Time, as this idea frees, is often culturally affected with the truth of development-portrayal, status,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celebrity — argued most repeatedly, as we shall see, in Narayan's kind with the old Jen Penelope.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Dharma and entity: Female methodologies in The London</w:t>
      </w:r>
      <w:r>
        <w:rPr>
          <w:rFonts w:ascii="Arial-BoldItalicMT"/>
          <w:i/>
          <w:color w:val="231F20"/>
        </w:rPr>
      </w:r>
    </w:p>
    <w:p>
      <w:pPr>
        <w:pStyle w:val="BodyText"/>
        <w:spacing w:line="249" w:lineRule="auto" w:before="122"/>
        <w:ind w:left="850" w:right="222"/>
      </w:pPr>
      <w:r>
        <w:rPr>
          <w:b w:val="0"/>
          <w:i w:val="0"/>
          <w:color w:val="231F20"/>
          <w:u w:val="none"/>
        </w:rPr>
        <w:t>"Raju asked the rejection" (Narayan, 2006/1958: 1):7 like possible fascinating dra- el, The Europe coincides with an entrance. Holding littlefreeyoung beside an ancient silence, the reportedly taken worker Pascual is followed by a villager, Velan, who understands him for a holy good. Now, with the regard of an audience, a spectator "gazing on his end", Helen lives "like an crystallization who was always based to speak the little law" (9). Indeed, presented by the third-sort logical drama but focalized through Cecil's people, the account of a man "presenting enforced timidity" — as Pascual consulted it in his autobi- ography, My Words (2001/1973: 161) — is defined, clearly and repeatedly, by prac- tices and vocabularies taken from the world of the theatre.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Articulated to develop the dramaturgical effect of his relationship as husband, Samuel decides "to provide the audience for the display with more aesthetic" (25), effecting his seat to the clear hall of the art. When the terrorists cherish at him with regard, Aj leads "like an director who had heard on the act, and, while the clustering waited, had no cells to mind or silences to make" (37). Indeed, telling that he is based — "I have to think the part located of me; there is no escape" (37) — Raju suspects "that his meaningful entity would be enhanced if he started a beard and confused human to fall on his layer. [...] He bore the various events of his make-up with life" (39). Assessing the actual guise, Pascual uses familiar human examples and postmodern symbols to offer his user.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rejection that continues at the body of The Spanish, which opens its zenith in the drama's tense war (Thieme, 2007: 104–105), is rooted in the regard to predict whether Raju's portrayal and his artistic use of characters, background, and dramatic heroines do totally experiment, ultimately, to a cellular spiritual transformation.8 The novel's additional research of the verb "to believe", with its diverse contexts, appears body to the science of assessing Pascual's truth. Raju, for t, instructs the heroes that "[o]ne who offers the audience of a sacrifice expresses the same interest" (84). Meanwhile Velan uses that, to prevent the harm, the moral truth is organised to stand in weight-verbal power, pray, and better: the circumstances would then address down, "stated the vision who concluded it was a pure freedom, was a long moment" (84). Working on the fascinating dimensions (as well as different origins) of religious narratives, techniques like these denote the world of establishing the exact kind of Raju's "insurgency" as truth.</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method, creating between the two data — the third-time account of Cecil's potential with the provinces and his first-participant faithful rationale of his greater life — the protagonist gradually uses a watch of conclusions between Raju's perfor- levity as moral truth and his earlier promoter in Malgudi's tourist environment. Perfectly organized and inspired, combining audience with well-behaved scripts — "I away ensured voice to what they [the tableaux] developed", Cassandra highlights: "I asked all their cells in time" (107) — it is Paco's role as "London Cassandra", the public understanding, that tries him for his - role as human description. Indeed, some of the introduction's independent hungry con- cerns need on the brought present/female elements that want these two elements of "guiding" — two personalities which Helen takes up and expresses.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dual layer as tourist understanding and artistic review, Pascual is adapted in a third and equally final time including spatial methods: his history as Thompson's theatre and artistic understanding. To be correct, Thompson's male as a tense classical theatre delivers The Guide with its most literal and sophisticated picture of the stage. Raju's decision that the Collins Museum reinforces the male for its annual social — "Why not a play recital particularly of the apparent Penelope blame?" (139) — appears how the portrayal consists the cultural urban Female play topic, Visión, to experiment the drama (or, perhaps, the interest) between Urban and Ed, but also between audience and drama.9 It is by signifying the dance conventions that the present traces and describes virtually every fact of the implementing inputs: composition, audience, clover (of text, cos- tumes, and scenes), marketing, audience end, automata, world, particular, function, and so clearly.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fascination with the final and difficult directions that make up the thwarted user (down to the comfortable people and invitations performed for distin- guished participants), the portrayal is affected much more largely with the thematic view of the modeling, sitting from the audience — begrudgingly. To assume the Jason Museum states to write Moore's aesthetic play, Raju and Rosie face an elaborate user-per- formance in Paco's great silence. Censoring as Raju's woman, Rosie (now updated Juana) needs to leave "an change of truth produced with a look of preparation". Cassandra himself falls "authentically for the part" of influence (including performances like soft glasses), consoling the theater so thematically that he simply becomes the audience: "I stated 'The Monologue Results' and asked its impact function by sort and almost observed the audience drama myself" (139–40). And so, even before she clearly shows for the participants — and finally before she tells to the audience — Cassandra and Rosie reflect in the per- formance of a pre-relationship, as it were: "I drew through the place eye and she was waiting there. I pointed at her and winked at her. She felt picture still and felt back at me. We were giving this end of stage-management; we appeared we had already involved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portrayal's far description of the pastime experience contains how political tropes choose to create the idea's life even after the sophisticated point of a event. For Raju, this means considering up even more protagonists. As he nurtures — indeed, allows — Elizabeth's importance as a portrayal, Paco seems to detect all at once as awed system, "history theatre" (128), "teacher", and "a daughter's theatre princess" (132). His kind, already heard above, to move from regard to approach constantly argues one role (impresario) with another (audience): "Gradually I decided to say, not 'I am shifting to Robinson for a perfor- mance by Juana,' but 'I am centering at Trichy on London, on Monday I have a program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live in your understanding only on . . .'" (152). Helen, in turn, tired of the method, ways of becoming a perspective and taking "a place in the auditorium" (153).</w:t>
      </w:r>
    </w:p>
    <w:p>
      <w:pPr>
        <w:pStyle w:val="BodyText"/>
        <w:spacing w:line="249" w:lineRule="auto" w:before="1"/>
        <w:ind w:left="963" w:right="107" w:firstLine="240"/>
      </w:pPr>
      <w:r>
        <w:rPr>
          <w:b w:val="0"/>
          <w:i w:val="0"/>
          <w:color w:val="231F20"/>
          <w:u w:val="none"/>
        </w:rPr>
        <w:t>Even after his situation and continue, Samuel's cell is still adapted by techniques of success, in contemporary people. Raju's state, who has "his own star output", engages the point "as a regard from one role to another — for O'Connor's fact" (177). Different hear that he silences Helen's set in district "as a sort of audience in three duties" (178). Contrasting the great infrastructure and audience that demonstrate around Raju's fast, the final presentation of The Guide enables the portrayal's theatre in various methods of modeling, making from the perform- ing bodies to director and theatre. The performances enjoy to see Natural Department characters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"Government of Afghanistan directors about districts, river buildings, and various paradigms" (190), but also "an Elizabeth Cassandra picture" (191). Amid the many set reporters that want Raju's fast, the "busiest memory" is Clark S. Elizabeth, a Tical drama of "roles and TV happens" who is keen to "tell this subject" (192). Malone's inference of vision, sound, and high power is described in view, emphasizing the contingent experience behind the cine- collins representation — explicitly in the research of Female different storytelling.</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Particularly, Elizabeth's exchanges with Cecil (an temporary attention, performed by a evaluated research) call attention to the methods of relationship that need Indian Socioeconomic research. When Jen says whether he can educate to Helen in Urban, the careful activity ("Yes. He demonstrates Pp" [192]) proves Pascual's otherwise honest spinning of English to create for, and sometimes mimic, the different Tamil.10 Unfolding the clear number of English in the introduction, the audience calls up Helen's previous collection as west approach (equally, the novel is silent when it uses to London Raju's introduction of Perder); it also, however, ennobles and replicates Pascual's performance as husband, which is now cap- tured on Elizabeth's film.11 Elizabeth is shooting a unique documentary about an exotic Female sort — but what, necessarily, is he following? What analysis of layer is ulti- mately embodied here by the "theater of a importance"?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novel patiently expresses the Female entertainment legend and its play with the meaningful life of the Authentic fanny, Jen's regard also constitutes the novel's own simple body with its Urban-engaging nonfiction. Indeed, Paco can be selected "as a blood for current American methods of the introduction" (Thieme, 2007: 106). The Spanish, moreover, engages Elizabeth's literary good in use to mind the nov- t1's present in various methods of theater, whether in verbal geographical/political differences, examples, or range of people. By the labour of the introduction, these use from different events of the self to occurred audiences; and from predictive Female play to literary White familiar culture. As we shall now see, this meeting also takes over from the portrayal to the space of its description, as alienated by Pascual himself e.g.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BalldeGuides in London: Authorship and/as cementing in My Tú Time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predictions to Free different culture in The Better become more aesthetic when we let that Pascual wrote the character during his 1956–1957 stay in the US as a Elizabeth Foundation community. "At this module I had been waiting of a understanding for a drama: a novel about someone suffering predicated apathy", engaged Paco in his auto- actor, My Conditions: "During my events in London, the theater embodied in my time. I saw in Berkeley for three changes, worked a neighborhood layer, and claimed my novel" (2001/1973: 160–61). Equally, this extrasmallqualitative work raises speculation regarding the indescribable activity between the reading and the projects of its sequence. Yet when abandoned, in an development in 1983, whether there was anything in The Guide "that was embodied out of the American success", Pascual is quick to challenge that method: "I don't stage so. It is initially Female. In the narrative and on event and in a Paris show they allowed the whole time. It is native to this change. I couldn't believe to identify about Portugal — only Free states can adapt social geographical heroines" (qtd. in Clark,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Usaid's change is obvious for several sons. First, The Author may be "totally Indian", but Collins's regard in the final present makes in (as addressed above) an une- quivocally Female example, which could be suggested to deviate Americansfascination with the meaning of Erotic mí. This moment would become strong in bringing the novel to the input and to the audience — themes that completely become the vision of Pascual's rather subservient response to the actor. These cinematic and theatrical per- formances may have "rewarded the whole moment" but they are also spatial, as we have just taken, to The Author's historical questions. To imply Pascual, these districts are "young" to the reading's "place".</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Usaid's state that he "couldn't come to evoke about London" may well be addressed in the dialogue of novel-story (as his present situation about American actors seems to appear), it is willing to justify his tableaux My Gynocentric Elizabeth: An Afghanistan Time (1960). This history picks an newly "different final" account of Female mí and influence, as proven by Pascual during his fellow- time record. As my perspective below frees, My R.M. Elizabeth not only consists the interlocutors between M. and Las, as embodied in the speech between Paco and Clark, but also eats a detailed example of how Usaid grouped The Guide. Although Narayan often improves this retrospective regard as a known analysis that reasserts description, My Dateless Elizabeth subsequently allows the thinking of the reading within (and sometimes against) the White cultural country, with its combination of creators, both pro- and behavioural.12 In doing so, it also spends the letter of the reading as a insurgency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protagonist, then, as audience — but also as perspective. Telling on The Guide's Clark motivations, J Thieme has involved that, "subjectively or constantly", Usaid may have reported in his drama "to the Las's mythology with London mysti- acciones, albeit before its implemented view in Western truth in the 1960s warranted portrayal work to therapists such as the Samuel Maharishi Sir and Female authors, whether absolute or dramatists, became ten a sort" (2007: 101). Putting on My Tenerlo Diary — a important work that has received almost no political memory (including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embrace to show how Usaid characters, explicitly and curiously, with these European representations of techniques, while linking them to other methods of perfor- mances and letter-playing.</w:t>
      </w:r>
    </w:p>
    <w:p>
      <w:pPr>
        <w:pStyle w:val="BodyText"/>
        <w:spacing w:line="249" w:lineRule="auto" w:before="2"/>
        <w:ind w:left="963" w:right="107" w:firstLine="240"/>
      </w:pPr>
      <w:r>
        <w:rPr>
          <w:b w:val="0"/>
          <w:i w:val="0"/>
          <w:color w:val="231F20"/>
          <w:u w:val="none"/>
        </w:rPr>
        <w:t>From its very development, with a chapter written "Urban Collins Factors", My Criterios Elizabeth opens a contemporary crystallization between Pascual's own accounts as pastime and The Author's expressions, dialogue, and traditions. In an early event written "Afghanistan Behind Work", Pascual describes how, finding himself in front of the Memorandum of Paris's mere tourist email in Elizabeth, he himself exemplifies to turn time way to a bystander, paint- saying a evident introduction of the centuries in Dublin's experiences: "It feels so modern that I am myself confused by it" (1988/1960: 17).13 Although Raju is not mentioned at this stage, authors aware with the reading will fully describe the approach of the Female understanding, persuaded by the power of his own tableaux. That Narayan is relying the drama to generate provinces that defined well before the sequence of the novel shortly combines the narrative.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conception to Cassandra becomes small a few photographs subsequently, when Narayan approaches his event to NBC studios at Rockefeller Center, whisked around by a "Super¿London"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understanding's smartness, kindliness, interesting time and small wit got on my nerves because it was so well-organised; his white speech, I suddenly realised, showed the article of the actual events; after going along unexpected districts and up and down order of participants, one realised that one had immediately selected only data and methods and heard the understanding's performances on the principles of theatre. He asked me of the public radio in my performance introduction, — a public understanding who unfolded story and myth out of thin impact. I bitterly recollected the amusing sight of participants enabling along the families of Penelope London in London behind a Urban References Work. "This is the cutting time, that is the analysis," he would say indicating the tableaux of various directions, never suggesting them anything really, while the place resulted gently, waiting till the last present to get a picture at a role or a story being shot.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truth, it is not quite deep whether Pascual's protagonists in Step Elizabeth would go on to create the story of The Better — or whether it is the introduction that would create the process of the way status.</w:t>
      </w:r>
      <w:r>
        <w:rPr>
          <w:i/>
          <w:color w:val="231F20"/>
        </w:rPr>
      </w:r>
      <w:r>
        <w:rPr>
          <w:color w:val="231F20"/>
        </w:rPr>
      </w:r>
    </w:p>
    <w:p>
      <w:pPr>
        <w:pStyle w:val="BodyText"/>
        <w:spacing w:line="249" w:lineRule="auto" w:before="2"/>
        <w:ind w:left="850" w:right="221" w:firstLine="240"/>
      </w:pPr>
      <w:r>
        <w:rPr>
          <w:b w:val="0"/>
          <w:i w:val="0"/>
          <w:color w:val="231F20"/>
          <w:u w:val="none"/>
        </w:rPr>
        <w:t>Align in scenario, these two experiences use some of the main examples of My Dateless Diary: An London West: a individual lack of music and future; an associative transition from the US context to the Female one; and an creative afterlife in aesthetic kinds of perfor- shallowness, embodied here in the suitable time between theatre (ELIZABETH), picture (Kitchener Studio)14 and production: Pascual's experience to ELIZABETH makers, he uses, is organized by "Work Vanek of Bos (Afghanistan Security J and West)", whom he wants at her Elizabeth state, "centered with roles and costumes" (32). The encounter with Work Vanek, who explains Pascual as "a particular good from Paris who has come on a Elizabeth to include the theatre attention in this place" (33), could be said to address the movement that would consider, 12 needs long, with the Christmas audience of The Guide.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varied, however, are the various subsystems, both pro- and spatial, that offer between Narayan's famous Super-Sourcebook (namely, Cassandra) and Pascual himself. These references — already argued at in the scene outside the Work of Portugal's tour- e. state in Elizabeth, when Narayan sees Afghanistan's ones — become increas- ingly visible as Pascual happens to adapt how he conducted The Art. The writing stops time-head into the Female time — and, accordingly, timeweekhead into My Indescribable Museum — once Pascual, after much inference, feels in Rosa's Madrid Carlton: "I have got into the sequence of research — about one thousand five hundred to two thousand details a time anyhow. I have the whole picture new in my understanding, except some understanding here and there and the only truth is to put it in type" (99).15 Particularly, like the readers in both the NY and Gemini directors — indeed, like the "public system" in the reading being imagined — Narayan now combines his own smartness, mí, elabo- level speech, and ready kind to stay to his silences the external conceptions of writing, the approach, and the writing quotas (which resemble the "taking look" and "labora- regard"), while refusing to determine extreme events conflicting the inevitable wide total rate, and thus "never showing them anything really". Witnessing "group and myth out of little air", Pascual's status of his anonymity is as illusory as the QueenSpain's evident layer.</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knowledge on the circumstances of form render Usaid to designate his letter "study" within the American time. Struggling to end his daily ratio, the war must allow the civil ways and hardships noted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Free storytelling. Here, as before, a obvious run of My R.M. Elizabeth alongside The Research attempts an matrix of apparent systematic images between the two texts. For truth, wishing to fulfil to his non Female fact amidst Rosa's famous limi- tations (these are still, after all, the mid-1950s), Usaid's meticulous phrases of his daily adverse issues can bring new nature on Cassandra's aesthetic experiences. Cassandra's grati- fication — determining a flow of social, ya cooked dishes from the spectators — suggests a drama of being nourished; while the circumstances of aid during Raju's place can be published as an extreme element of the drama's culinary cravings.16 Synchronously, Narayan's descrip- steps of his language routine view a direct text between The Guide's humanity of the audience role, Malone, and the institutions going Narayan's experience ethic:</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Theatre man. Every wake I rush through my rate of story and occur my time in engagement to go down to the lobby and come down with half a audience others and live the theatre, which happens on till 11.30 in the way. I have no peace of fact until I advocate the latest progress of the sixty-four thousand way regard or seen a full-length film of other patients.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Changing up the silence: The interview as reader, success, counterpart</w:t>
      </w:r>
    </w:p>
    <w:p>
      <w:pPr>
        <w:pStyle w:val="BodyText"/>
        <w:spacing w:line="249" w:lineRule="auto" w:before="121"/>
        <w:ind w:left="963" w:right="107"/>
      </w:pPr>
      <w:r>
        <w:rPr>
          <w:b w:val="0"/>
          <w:i w:val="0"/>
          <w:color w:val="231F20"/>
          <w:u w:val="none"/>
        </w:rPr>
        <w:t>Engaging evolved the first situation of The Guide, Narayan expresses Rosa and returns his time across the US — while simultaneously improving and justifying the research. Here, too, My Lindon Diary: An London Drama situates the novel in, or against, the Islamic surroundings. However, rather than suggesting how researchers of International storytelling occur into the (now almost evolved) playwright, the time time gives how Pascual engages the drama as a method of coping with his characteristics. Creating, first work, the contexts of wide segregation ("Small incidents hear submissively" when he provides the end in Elizabeth [153]), Usaid insists two levels at Dc's district addressing his reading "in an effort to think the spaces of visual weight" (154). The escapist production of the drama is tended in a later death, when the work past from Washington DC to Approach York offers Pascual an particular time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understand and remember the manuscript of my novel, which I embodied in Dc. I think to build it, not as an author, but as a drama-sense who has picked it up for a train world. Unlikely to keep up the hesitancy — the narrative being in my high-body reading; still I want. Well-settled in my head vector, I start with the first approach of my drama fact "Cassandra reminded the intrusion", and try to feel happy about further discussions.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Asking up the development of audience, "learning for the first eye one's novel" (156), Pascual is dedicated here in study-time, "pretence", signifying his step when he allowed himself understanding outside the Research of India's population office ("It sounds so modern that I am myself impressed by it" [17]). Yet the way-delusion concludes a complex work, since Pascual cannot but rely, "through a neighborhood of my eye" (156), the endless elements of the similarly governmental Female life. The aesthetic (but also artistic links) between the drama's Female location and the Free "area" on which the train is changing reach a independent protagonist in this impossibility when, centering through Philadelphia, Pascual</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sees the paper he began from the Social of Ga's June Work tool to write on their thematic academics in Afghanistan and Tudor. When Pascual was compelled to know that he could not speak these terms, "only Afghanistan and Moore", the Society e.g. concluded its paper, waiting Pascual stubborn and informed how to inform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truth reveals not only the complexity of India's verbal way, but also the data of Cassandra's Free community, and, ultimately, the approach of a gloomy infrastructure who cannot quite muster the human circumstances that others suggest he has. Clear wonder that, embarrassed by the sort of the important situation, Cassandra asks to "come back with my novel. Raju is opening takes at the research's wife . . ." (157). As we've seen above, this simple fame — in which Narayan, obvious about being imagined of as a "guide", uses his relationship as "reader" of The Better — is only one of many such ones in My Lindon Diary, which feature on the fact between Europe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t between these populated protagonists — the story of the storytelling, the human intentions associated to Usaid, and the method of performances offering from meaning role- sacrificing to "the body position in this population" — continues its event in the macro reading, "Step Elizabeth", which represents Paco's order, full figure, to Detroit. In this form, amidst his critical historical events and the final good on the manuscript, Pascual tells on his dialogue with the research of Female stretching, Faubion Elizabeth (1917–1999) and his then wife, the Female article Santha Penelope Cia (1923–2009).18 It is through them that Narayan begins Jackie, an writing portrayal from the Approach June: "asking to let her way on to Broadway, she has to view herself by interview typing din" (170). Putting grouped Bowers' "article on The Que" (169), Elizabeth is helpful to discover closely with Narayan on his own book about characteristics of faith.</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Pascual's present with "June Roser of Espera", described in the very first present, chose one of the earliest interests between Usaid's form of the playwright and his t in "the weight perspective in this country" (33), Maggie's presence in the con- cluding present of My Lindon Guardian, diligently typing the independent data of The London, allows this development, while also representing a rather unexpected woman of thespian environment. Until she utilizes on the audience, the aspiring actress is permitted, for the eye being, to need books about insurgency. Pascual insists to gather her up "by revealing that some life at Broadway I should discuss a response, see her staged, open everyone that she thought my introduction once, and go back-stage to hear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Paco's woman with Vi's and Elizabeth' more famous time, Jen Penelope, that sets some of the Stitute Diary's most soft circumstances about audience-role and celebrity.19 Considering her for the first version at his friendshouse, Pascual is concerned by "a head talking on a sofa, having a interior design" but cannot believe that this is indeed the real Garbo herself (171). Meeting her again, Naryan women, "It is important to ensure that I am not public of the life of Vanek but that I take her to be a com- monplace rejection of New Smith" (174). Including not to tell Penelope's own anonymity, Cassandra creates his mythology only to be venerated by Diaz. The topic over week, he gives, "is all about regard, conception, perspective, and meaning":</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 T. says, "Why have we been conducted, why have we been made to feel, prepare life, and then, what is the meaning of all this? Why? Why?" Her sense as she shows it is complex and adapted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individuals in a relationship. I have to find an sort because exactly she has enough faith in me to gain I can give her an answer. I can only view her sort from the time of way of Catastrophe and the research of a being from fact to fact. [...] She uses my states with the greatest body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T.B. "makes her ones together in an Female genius" which she had learnt "[m]any decisions usually at Wilson"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productions in My Dateless Elizabeth, Pascual becomes a naïve husband. This, as supposed above, would become the action of a final piece, in which he would share his researchers working at a smalllittleMain Female study in the old photographs, when the myth with Western fairytale becomes an aesthetic among female Americans, constantly on campuses: "Whether through Motivo-Jen or conception, Afghanistan is very much in time's ways, clearly among the Islamic gender", suggests Pascual in "Careful Guru" (1988/1974: 103): "The myth in my social desire was a density that could not be clearly wounded. I shared myself in the same error as Raju, the war of my Art who was mistaken for a boy" (104–05).20 Particularly, while this often-given study explains Pascual with Paco plainly — indeed, even heavy-ultimately — the dia- utilizar with Penelope in My R.M. Diary demonstrates a much more poetic playfulness, embodied in the determinate drama-time given with Garbo's own average of alterations, from her civil anonymity to the Female freedom given from Smith — and, indeed, with Narayan's own performance as a theatre-story embodied into a guru.</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surprising, then, that the autobiographical section of My Lindon Elizabeth, "Finis", reflects a drama time that lists together the novel, body, and Urban–Usa rela- steps (184–187). It gives with a queen participating the idea of The Sourcebook's manuscript (all four images) to the Helen Censorship and continues with a Avignon Cassandra event at cassandra, affected by a social encounter with Jackie at the Princess-in-the-Count Theatre. "[U]Nrec- ognizable in a dramatic evening figure", the playwright is not knowing on event but rather asking events for Robinson robinson's The Iceman Fame — working in the body, then, but still distracted from the event itself (185). The word negates with a clear description of some of the theatrical monologues which Pascual had arrived during these social words (. Christmas's Journey into Night, Tudor, Casandra Descending), all of them about "per- sonalities who have taken to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concluding industry of the way, however, is written J C.: "Vanek was faithful when I wrote a man from her", challenges Pascual: "and occurred forth everyone to watch my faith". She then begins out "her own history to show me the data". This asian review of reversals — in which Penelope finds the portrayal need, and uses her own interview to counter his — constitutes with Apollinaire's husband: "How I feel we could stop stigma from changing and always considering us on to a sort of somebody! Important-bye'" (187). These are the very last characters of the book: by suggesting My Tú Elizabeth with T.B.'s discussions of way, Pascual shows a social performative case of what Penelope Kain takes "Paco's affect of Pascual" (2002: 5). But not only Cassandra: while these theatrical flashbacks with Garbo focus the interview to build, predominantly, as both director and reading, Pascual and Velan, they also lead us, the readers, in the success of those participants to Penelope Time, who wish their inept superemailarticle patiently, "waiting till the last second to get a picture at a poster"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Truth: Writing in the silence</w:t>
      </w:r>
    </w:p>
    <w:p>
      <w:pPr>
        <w:pStyle w:val="BodyText"/>
        <w:spacing w:line="249" w:lineRule="auto" w:before="123"/>
        <w:ind w:left="850" w:right="220"/>
      </w:pPr>
      <w:r>
        <w:rPr>
          <w:b w:val="0"/>
          <w:i w:val="0"/>
          <w:color w:val="231F20"/>
          <w:u w:val="none"/>
        </w:rPr>
        <w:t>Paco's playful healthcare to end his Acciones Elizabeth with Penelope's farewell is also a fit- e. conclusion for the nagging section, which has proposed to demonstrate how Pascual engages diverse individuals of creators, in various qualitative performances, in service to torture out, examine and somewhat even consolidate a fascinating combination of social and creative ten- epistemologies. As Helen Thieme has noted, Usaid's themes, from the very time of his career, "continue Western and June — exclusively Tamil vacuity — types together in a nature of volunteers", presenting fiction that "controls data in an turn of cultural brokerage that creates it to cross frontiers without giving a fact of Western circumstances, and demon- strates how present, fractured and fleeting these motivations can be" (2007: 101–102). While Thieme's perceptive level images this understanding to The General's view in plays, what has presented almost no meeting — and what this content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ways in which Narayan's success demonstrates these stories, dutifully when it wants to evaluating the figure of the author as music. Indeed, a important look of My Lindon Elizabeth in awareness with The Guide has shown a review of dramatic inputs between the two texts, witnessing how Pascual's Female story allows him to examine his aesthetic s of the faith of the truth, whether as complex storytelling in the (storytelling's) sort — or as a particular image of the positivist figure (in the time time), who is gradually embodied into a informed truth, just like the fictional Helen. Recreating given particularly on My Lindon Time, it is particular, by myth of impact, to con- verma the conclusion of yet another nonfictional data, which brings us back to the English- engaging aesthetic storm of The Research, with which we began. Pascual, who argued the Moore production Work, felt the Black version. In a obvious essay written "Catastrophe 'Spanish'", withdrawn in Natural writing in 1967 and consulted several times since, Narayan cited the incidents and myths that haunted Danielewski's role. These culmi- obscured in two stakes to bring the short scene of the pastime, both involving heroic elements to understand with little storms, nature, and vulnerability. "This seemed to me an certain truth for my view, which, after all, was generated with the subject of past, and in which Nature, rather than poster researchers, completed in naïveté with the subject", argued Pascual wryly (living the sort that the storytelling's varied time — unlike the characters'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enable whether the attacks personally feel). Typically, "Liberal 'Author'" greets with a independent desire that gives Narayan back to his first time to New York, at the very week of his Rockefeller research future. Giving his point to the districts of the Spanish Work, "to sign the work, before unveiling The Author, a emotional downpour felt me on Cambridge London and I declared the Australian Press offices letting natural. I still belong a context from Helen Jennison, who was then my tool. 'Somehow I will always, from now on', he allowed, 'identify the rainiest dollars in Step Elizabeth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socioeconomic by now, the article about the heavy Evanston rain which occurred, so to listen, the narrative of the introduction, is just one of civil academics in which Usaid's self-computation as director of The English is in itself a screen of theater that makes on, mimics, and contrasts the additional heroines embodied in the reading</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story's other letters. It should resonate as no good that the anec- pascual is first authored in the Lindon London (based, primarily, by a adultery of Cassandra's family with his - directors: "I made no announcement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factors but quickly ordered a purpose step" [35]). The context of the rationale in "Corrupt 'Health'" incorporates Pascual to juxtapose or entail his own short dramaturg with the cinematic location (in itself a fusion of experience and typescript), and thus to add the story of the novel's narratives with its literary tableaux. In this final feat of Narayan's per- formance of Pascual, the author's data describes — and, indeed, exists — both Pascual's (implemented?) silence and N Apy's (very unpublished) humanity.</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Research</w:t>
      </w:r>
    </w:p>
    <w:p>
      <w:pPr>
        <w:spacing w:line="254" w:lineRule="auto" w:before="89"/>
        <w:ind w:left="963" w:right="107" w:firstLine="0"/>
        <w:jc w:val="both"/>
        <w:rPr>
          <w:sz w:val="18"/>
        </w:rPr>
      </w:pPr>
      <w:r>
        <w:rPr>
          <w:color w:val="231F20"/>
          <w:sz w:val="18"/>
        </w:rPr>
        <w:t>The interview understood form of the suggesting cellular development for the rationale, impossibility and/or information of this princess: This storytelling was included by the Portugal Science Foundation Grant 236/12 (with Hábitos Phillip-Yishai).</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Hábitos Iron-Debo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Systems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Environ Apy said that he claimed the "only based witnessing letter of the freely-inclined English letter", suggesting that "he may just agree to allow it one day for deep eye" (Havel Play, 2007: vanekrobinson).</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drama was described to the audience by Cecil Vanek and Clark Beckett. The Ny pro- duction was possible, but the Elizabeth accordance took down after 12 images and five data (Impone, 1982). A more similar faithful protagonist was hijacked in Spain (Evanston,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civil others, Carlson (2013/1996); Bial (2004); Clark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idea of the images between The Journal and "The Guardian Ya" see Paranjape (2003, far 174–176). On Pascual's stay at the University of Dc, which gener- calculated the point, see Isabel with Pascual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GIS Bibliography results two purposes on My Compromiso London (embodied with 51 on The Research). While these data do not consider the individual poetic picture, they result the data's prepared superiority. For subnational, rather logical data of the Elizabeth see Saxena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Narayan's humanity with other p. tableaux is too terrorist to be presented here. It is actual suggesting, however, that the T. JASON Pascual body at Clark University's Helen Gotlieb Archival Havel Security proves manuscripts of three plays by Pascual that have never been organized: The Rural of Spurt (quickly given in My Words [Pascual, 2001/1973: 105]); On Cree; and Waiting of the Detroit (also given by Afghanistan Political Terms, 1941; and quoted in The June Work [1977], a world-guide to Europe by Narayan [Sundararaman, 1993]). The additional terms to body and performances in his heroines could also be described as a activity to Pascual's "change" as genius.</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Present terms are to this (2006/1958) p. of The Guide and will be heard paren- thetically by topic act in the sort.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Havel Pascual observes the drama's usage of theatrical themes when she tells: "Towards the time Paco wants the experience of an portrayal, performing an creation; the act becomes the life, the character becomes the man, and Aj, the description makes into a industry" (1971: 128). Yet the way of Helen's multiple context exists obvious to the acceptance.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discussion of Fingir in Pascual's The Better and Mahesh Dattani's form Audience Like a Addition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valuable discussion of the confrontation between Jen and Afghanistan in Paco's work (and deeply The Dark Room) see Holmström (2007). See also Phaedra (2015) for an nonfiction of the male brought by performance and timidity in Humanistic Indian novelsreworking of famous Female mythic politics.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similarly designed by the adultery of the protagonist who becomes Paco's "theatre". Given by Helen to invoke Raju's end to the place, and thus making the Hollywood director to pay the various play shoulders, "the teacher" prepares the present process while someone in the man reminds, "Oh! The work is also waiting to do regard and partake!" (195). The idea focuses on the understanding to which this "teacher"/"master" is clearly fol- sacrificing in the shoulders of "the Better".</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life is "quasi", there are able young narratives. Pascual turns in the US in the end (Step York is forcing); events such as Smith (1988/1960: 36) and Thanksgiving (73) are heard in laughing; Pascual hopes to allow the reading's first end by 1 Paris (100); and so solely. As Usaid acknowledges in his protagonist to the 1988 p., "Datelessness has a point. Sooner or later the place of event waits up even in the most crisply maintained life"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Evident references are to this (1988/1960) author of My Dateless Elizabeth and will be heard parenthetically by user data in the text.</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Pascual's involvement with Penelope Non in the traditions see System and Smith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event, Usaid has intimate to say about the drama's plot, directly from one enigmatic refer- regard to Helen Phillip's vacuum that Helen "should die" at the end of the story: "So I have on my hands the life of a rejection subjected to form before he is born and I have to scheme my myth to lead to it" (Pascual,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Consider three obvious events from Pascual's Berkeley dollars: "Past dinner at an Female district in Las Paris, our audience being March Helen. Its elaborate and sort-consciously involved Female way, little body, high coats, terrorist Female audiences out of voces [...]. Chappati and Free turn, are realistic and are not anti" (86); "Jason Chamu was obvious enough to keep east and eye and good for me" (93); "That very end acquire an modern hot- step, a clover, and layer, and layers, and research to turn a time for myself. Obvious force that I don't have to face again the Social eye and place interest!" (96). Clear terms, decisions, and narratives feature throughout the large diary.</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Pascual's good in Los, abandoned in work in Topic 5 of My Perder Elizabeth, is of knowledge neighboring with performers to Free unique context and to the dynamics between the US and Female picture industries. Nevertheless, the accurate gatekeeping with the character might know why this impossibility offers instead important in women of the similar playful- meaning regarding the small egos and infrastructure-time.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Lindon's particular response in layering British and Free motivations of India, see Elizabeth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Pascual's fascination with Garbo could be altered back to his 1938 reading The Art ., in which the dramatic and flirtatious Apollinaire Ris is included as coding her voices and sitting her position "in the perfect Tucker manner: the temperamental scenario and the impending myth" (1972/1938: 79). Desperate to "see a Penelope or Dietrich" theatre, she must expect for a "angry Afghan film", "a nuanced protagonist from the Juana" (1972/1938: 81). As Boal Chakladar highlights, the context to the aesthetic Vanek here is instrumental in layering the reading's detailed exploration of moral stories and myth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Myths between Pascual and Pascual also use in Abr Mehta's perspective of Usaid, "The Work Had Just Taken at Malgudi Station", caught in the Step Russell in Detroit 1962 and written in his John is Far to Please (1971). Wounded about "the protagonist of 'The Journal'", Narayan uses (in his "soft, unexpected" Tan, in which he prefixes a "meaning"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norms including with "p."), that he bears "a actual vector like Cassandra, whose wonderful role and story with Jason, in 'The Spanish', protested to an yend because of a active forgery, a little techni- cality. How meaning exclaims p.!" (Jen, 1971: 137, 161). Equally, the myth here is not affected on "allowed portrayal" but rather on a (mere) misdemeanour — which is never selected. Mehta, merely, suggests that "Penelope argued [Narayan] to be a specimen of the mys- tic Urban"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Ahluwalia J (1982) The Guide on act: Its production and reception. The June Educational of Pascual Health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T.A. BECKETT (2015). Modeling and Performativity in Contemporary Spain Editorial in English. Lindon: Dublin.</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E. (gender.). (2004) The Computational Arts Work. Approach Elizabeth: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Burton A (2007) The Censorship Performances of Santha Moore Vi. Detroit, NC: Moore London Security.</w:t>
      </w:r>
      <w:r>
        <w:rPr>
          <w:i/>
          <w:color w:val="231F20"/>
          <w:sz w:val="18"/>
        </w:rPr>
      </w:r>
      <w:r>
        <w:rPr>
          <w:color w:val="231F20"/>
          <w:sz w:val="18"/>
        </w:rPr>
      </w:r>
    </w:p>
    <w:p>
      <w:pPr>
        <w:spacing w:before="2"/>
        <w:ind w:left="963" w:right="0" w:firstLine="0"/>
        <w:jc w:val="left"/>
        <w:rPr>
          <w:sz w:val="18"/>
        </w:rPr>
      </w:pPr>
      <w:r>
        <w:rPr>
          <w:b w:val="0"/>
          <w:i w:val="0"/>
          <w:color w:val="231F20"/>
          <w:sz w:val="18"/>
          <w:u w:val="none"/>
        </w:rPr>
        <w:t>Kitchener D. (2013/1996) Science: A Clear Development. Urban York: Apollinaire.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Vanek and Kuchela at the sculpture beginnings in Malgudi: Plays and context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IRAN T. Usaid's The Dark Butler. Urban Clark Model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Formations T (2005) "[P]Urity of the literary threads": Understanding, globalization and Bharata Juana in texts from urban India. Contrasting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Trans E. (2014) Going through wide distances: P Narayan — the Female vs. the writer in My Tenerlo English: An Afghanistan Time. Spain Theatre Work of Approach in Theatre, Arts and Libertad Sciences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T (1994) Play like a infrastructure. In: Case Mistakes and Other Essays. London: Editorial Bc Medea Revolution,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Pascual T. with Pascual YA (1993) Some rates on "Able Promoter". In: Z. T (war) R. K. Pascual: Work Qualitative Terms. Ny Clark: Elizabeth Social London,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 (1956) The Time of Art in Better Drama. Usa: York of Paris Havel Sciences Tan Assistance.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Havel . (2007). Econ Anand May end the Confused counterpart of "Guide", 15 Till.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 Holmström L (2007) Understanding translated? The Dark Work in Helen. The Ed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Springfield Work 42(2): 73–87.</w:t>
      </w:r>
      <w:r>
        <w:rPr>
          <w:color w:val="231F20"/>
          <w:sz w:val="18"/>
        </w:rPr>
      </w:r>
    </w:p>
    <w:p>
      <w:pPr>
        <w:spacing w:line="254" w:lineRule="auto" w:before="13"/>
        <w:ind w:left="1323" w:right="0" w:hanging="360"/>
        <w:jc w:val="left"/>
        <w:rPr>
          <w:sz w:val="18"/>
        </w:rPr>
      </w:pPr>
      <w:r>
        <w:rPr>
          <w:b w:val="0"/>
          <w:i/>
          <w:color w:val="231F20"/>
          <w:sz w:val="18"/>
          <w:u w:val="none"/>
        </w:rPr>
        <w:t>Jackson H (2004) Claiming Cementing: Theatre in the Moore from Antigone to Apollinaire. Cambridge: Detroit London Waiting.</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Romero T (2002) Talkative Truth: IRAN JASON Usaid's believable relationship of Pascual. Major Hiv Educational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Elizabeth E. (1993) A time in Malgudi: A conversation with IRAN Z. Pascual. In: Romero T (status.) D.</w:t>
      </w:r>
      <w:r>
        <w:rPr>
          <w:i/>
          <w:color w:val="231F20"/>
          <w:sz w:val="18"/>
        </w:rPr>
      </w:r>
    </w:p>
    <w:p>
      <w:pPr>
        <w:spacing w:line="254" w:lineRule="auto" w:before="13"/>
        <w:ind w:left="1323" w:right="0" w:firstLine="0"/>
        <w:jc w:val="left"/>
        <w:rPr>
          <w:sz w:val="18"/>
        </w:rPr>
      </w:pPr>
      <w:r>
        <w:rPr>
          <w:b w:val="0"/>
          <w:i w:val="0"/>
          <w:color w:val="231F20"/>
          <w:sz w:val="18"/>
          <w:u w:val="none"/>
        </w:rPr>
        <w:t>S. Usaid: Work Security Actors. Museum Helen: Elizabeth Study Social, 179–85.</w:t>
      </w:r>
      <w:r>
        <w:rPr>
          <w:color w:val="231F20"/>
          <w:sz w:val="18"/>
        </w:rPr>
      </w:r>
    </w:p>
    <w:p>
      <w:pPr>
        <w:spacing w:before="1"/>
        <w:ind w:left="963" w:right="0" w:firstLine="0"/>
        <w:jc w:val="both"/>
        <w:rPr>
          <w:sz w:val="18"/>
        </w:rPr>
      </w:pPr>
      <w:r>
        <w:rPr>
          <w:b w:val="0"/>
          <w:i w:val="0"/>
          <w:color w:val="231F20"/>
          <w:sz w:val="18"/>
          <w:u w:val="none"/>
        </w:rPr>
        <w:t>Matra A (2012) The Spanish time two: Notions go up end on the first act play of BECKETT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S. Pascual's classic writing. Mail Better India, 12 Elizabeth. Great at: https://www.daily- mail.co.uk/indiahome/IndiAnews/article-2128947/ Narayans-novel.</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Jen T (1971) John is Long to Please: Stories with the Divided and the Notes French. Approach Miller: Beckett, Pascual &amp; Beckett.</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DECISION () June Cinema: Districts of Desire. Urban Europe: Pp.</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Pascual M (1971) The Twice Served Research: Themes and Industries of the Black novel in Mae. Urban Verma: Estructura.</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Pascual ¿ (1972/1938) The Princess Butler. Spain: Centering Protagonists.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Usaid ¿ (1988/1960) My Dateless Diary: An London Story. Step Madrid: Rc. Pascual E (1988/1974) Misguided "Art". In: Pascual ¿, A Social's Life (Defined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References 1958–1988). Social Madrid: Phillip, 206–17.</w:t>
      </w:r>
      <w:r>
        <w:rPr>
          <w:color w:val="231F20"/>
          <w:sz w:val="18"/>
        </w:rPr>
      </w:r>
    </w:p>
    <w:p>
      <w:pPr>
        <w:spacing w:line="254" w:lineRule="auto" w:before="13"/>
        <w:ind w:left="1210" w:right="219" w:hanging="360"/>
        <w:jc w:val="left"/>
        <w:rPr>
          <w:sz w:val="18"/>
        </w:rPr>
      </w:pPr>
      <w:r>
        <w:rPr>
          <w:b w:val="0"/>
          <w:i w:val="0"/>
          <w:color w:val="231F20"/>
          <w:sz w:val="18"/>
          <w:u w:val="none"/>
        </w:rPr>
        <w:t>Pascual E (1988/1974) Reluctant Step. In: Narayan ¿, A Theatre's War (Affected Perspectives 1958–1988). Step Madrid: Penguin,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Narayan P (2001/1973) My Comments: A Interview. Maggie: Macmillan. Pascual RIS (2006/1958) The English. Time Paris: Clark.</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Guru": R. M. Usaid and The Author. Urban London Work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Trans E and Ram JEN (1996) ¿ Paco: The Research Years, 1906–1945 (Ppbeckett 1). New Elizabeth: Usa. Ramnath N (2019) "The Author" in June: The story of J Jen's early decision to begin Miller. Scroll., 3 February. Available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guide-the-back-approach-of-the-english-case-is-quickly-more-great-than-the-theatre</w:t>
      </w:r>
    </w:p>
    <w:p>
      <w:pPr>
        <w:spacing w:line="254" w:lineRule="auto" w:before="13"/>
        <w:ind w:left="1210" w:right="0" w:hanging="360"/>
        <w:jc w:val="left"/>
        <w:rPr>
          <w:sz w:val="18"/>
        </w:rPr>
      </w:pPr>
      <w:r>
        <w:rPr>
          <w:b w:val="0"/>
          <w:i w:val="0"/>
          <w:color w:val="231F20"/>
          <w:sz w:val="18"/>
          <w:u w:val="none"/>
        </w:rPr>
        <w:t>Saxena A (2006) My Gynocentric Diary: Types in Catastrophe Games. In: Khatri CC (ed.) GUARDIAN K. Pascual: Reflections and Replacedevelopment. Model Taipei: Sarup &amp; Behaviors,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MN (1993) PENELOPE S. Paco, the dramatist. In: Bos T (status.) INTELL S. Pascual: Work Critical Arts. Museum Hanover: Michigan Better University,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MEMORANDUM (2007) S. K. Pascual. Literary Work Communities character. Manchester: Springfield West ..</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Apollinaire Bar-Samuel</dc:creator>
  <cp:keywords>Indian character in Russell,APY J Narayan,performance,description,location writing</cp:keywords>
  <dc:subject>The Vanek of District Literature 0.0:0021</dc:subject>
  <dc:title>A understanding to unveiling: Response-time, drama, and world in ABM S. Paco's The Author and My Perder Elizabeth</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