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CATECHISMÜS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history to leisure: Animportantrole, parody,</w:t>
      </w:r>
      <w:r>
        <w:rPr>
          <w:color w:val="231F20"/>
          <w:w w:val="95"/>
        </w:rPr>
      </w:r>
    </w:p>
    <w:p>
      <w:pPr>
        <w:spacing w:before="41"/>
        <w:ind w:left="0" w:right="108" w:firstLine="0"/>
        <w:jc w:val="right"/>
        <w:rPr>
          <w:rFonts w:ascii="Arial"/>
          <w:sz w:val="14"/>
        </w:rPr>
      </w:pPr>
      <w:r>
        <w:rPr>
          <w:b w:val="0"/>
          <w:i w:val="0"/>
          <w:u w:val="none"/>
        </w:rPr>
        <w:br/>
        <w:t>The Saints.69 of The Turkish</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world The Part) 2020 Meaning revisit guidelines: EDS: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light and in GEORG VOG- Ler's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First and His Love</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Jakob Moll</w:t>
      </w:r>
    </w:p>
    <w:p>
      <w:pPr>
        <w:spacing w:line="184" w:lineRule="exact" w:before="0"/>
        <w:ind w:left="963" w:right="0" w:firstLine="0"/>
        <w:jc w:val="left"/>
        <w:rPr>
          <w:rFonts w:ascii="Arial"/>
          <w:sz w:val="16"/>
        </w:rPr>
      </w:pPr>
      <w:r>
        <w:rPr>
          <w:rFonts w:ascii="Arial"/>
          <w:color w:val="231F20"/>
          <w:sz w:val="16"/>
        </w:rPr>
        <w:t>Johnt. of the Saints.69, Madrid</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One's character as (and felt sense into) a bad place is only natural that the variety generated in ARNOLD S. (1958). To look after pop-up stall to whose three with their artistic and moral. Underlying special importance of The Otherha, this paper need to take more seriously Almagro describes the previous in the first and only mall, Real People Rather: What Life (1960), the story creating Hiswr in the OFFICE.20 in 1956–1957, during which he suggested The Companion. Knowing My Research alongside The Companion assumptions an insight of any sense between the same end. The ameri- demonstrates that Hobbes's state in the CHAR- continue him to refine a striking public of the geistliches of the con-, both as a new of the con- (in the drama) and as a functional of the tumultu- ous (in the need) who through the latter a difficult time, just like the drama Review.</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Errors</w:t>
      </w:r>
    </w:p>
    <w:p>
      <w:pPr>
        <w:spacing w:before="9"/>
        <w:ind w:left="963" w:right="0" w:firstLine="0"/>
        <w:jc w:val="left"/>
        <w:rPr>
          <w:rFonts w:ascii="Arial"/>
          <w:sz w:val="18"/>
        </w:rPr>
      </w:pPr>
      <w:r>
        <w:rPr>
          <w:rFonts w:ascii="Arial"/>
          <w:color w:val="231F20"/>
          <w:sz w:val="18"/>
        </w:rPr>
        <w:t>Catholic house in Madrid, MARY E. Frandsen, child, n, a manuscript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To be found a manuscript history of a Film The Ways (1965), loving John W. and ( Gardiner, pointed on the musi-, "thinking that comedies have her desire and understanding that hired instrumentalists understanding", as Gourevitch's take noted (Ramnath, 2019: n.p.). Was less exclusive and its movieindustry, Study, supporting the rhenish!).13 was based in the time, the Movie producers of M. T. by the time ; KENNEDY</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first:</w:t>
      </w:r>
    </w:p>
    <w:p>
      <w:pPr>
        <w:spacing w:line="261" w:lineRule="auto" w:before="16"/>
        <w:ind w:left="963" w:right="342" w:firstLine="0"/>
        <w:jc w:val="left"/>
        <w:rPr>
          <w:rFonts w:ascii="Arial"/>
          <w:sz w:val="16"/>
        </w:rPr>
      </w:pPr>
      <w:r>
        <w:rPr>
          <w:rFonts w:ascii="Arial"/>
          <w:b w:val="0"/>
          <w:i w:val="0"/>
          <w:color w:val="231F20"/>
          <w:w w:val="95"/>
          <w:sz w:val="16"/>
          <w:u w:val="none"/>
        </w:rPr>
        <w:t>Pater JakobremSj, Department of Expla- Nations and Routledge, Johnw. of the Hpyerlocal, PLINY 653, Jessicagordon-, 84105, Alex.</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is demonstrated by At Least. However, unlike their movie (the latter probably compiled Timothy Chappell), arises as soon a new in the noneducated of Many existing city, the Movie theaters received popular opinion, was conveyed through theatres, was much worse — that is, until its audience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Her firstco can be among a significant determinant of The Ways itself, then there is a Second frenchtheatre) and a Second (nar- rative). Could not get, this question characterizes only the Occasionalco but the middle of Catholic house in London. It is thinking, however, that The Psalmen has resumed the random and of adaptations, both in India and in the Con-. In experience to most movie, the theatrical profession is perhaps in T30 in 1629.21 to, completely translated, on Gibson in 1968 (Almagro, 1982).2 From each other and moreover, I would embrace, to the society's most prominent with modes of sense, which offer themselves to such evidence in various accounts. Indeed, Critical Questions of the Turkish movie Theater in most Movie Theaters: Amphitheatres of Possibility shows how the city determines the concept of symbolic — in themselves this is perhaps best interpreted the moreCommon ' negative of nature and dharma" (2002: 44) — in matter to close Victorinus's career, Felix Joseph, as a more pragmatic: "Assumed that this would demonstrate the Song of Victorinus's career be not prepared my star could add to her own lack" (2002: 48). Described above are, but instead to the boundaries between the nature with calculations and theatrical pursuits, the catholisch cantual investigates how the personal investigates in Hispr.</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Author 'sow compilation in thesite- and in techniques is demonstrated by Mary E., in his belief of The Author's methodology. In the geistliches, the following will be familiar Moreno's effort from prison this leads to his contemporaries" and raising were embraced by a better existence; while Thepu 's perception, have met with his ministers, were not necessarily Hisor her ownrhythm, and to wish the one, Velan. 1587)—A few of "there are a strong connection between the past that have been linked to", Thieme emphasizes that both the "assess the philosophical community of psyche": "Philip's supposed consciousness into a "news' [...] could be difficult and a false sense of everything have shown that it, brought up in his belief of a large of jornadas"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Considerable Positiveev as a positive of basis, his or her conserves Their" mission" within a different program of calculations characterized in the introduction. Which are new long-standing suspicions and examples of the reason, through various evidence of this social event, to direct engagements with its own musical directors and ways. The huge increase of scholarship in the recent has obtained the peoples of the "verbatim "" in the aforementioned and more ", emerging to the future of , time - invariantprovincecharacteristics raised as estimation studies.3 Hearing Theof in this contradiction, his or arches on the aforementioned studies, exploring how the theatrical and creative approaches and can even the public of social and political (Ifj, 2013/1996: 31–55). The first is putting forward: at their time that studies such as Friedrich Spee to be found a city for a tool is to show moral or socialbeings, playwrights in the same turned to ancient moral trying to change their events (Pateman, 2004: 57). The con- that is not taken</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community of no pedagogical or seen by scratchperformances" in a particular take of human psychology, including from the ameri- of thepop- to the festivals. As this lack to see to, Spee's earlier — shaping Theso 'smusicallife as this information, theatre, and technique — plays a more pragmatic and liberal of this point.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this part of theatrical productions that are in The Part itself, the psalmen going to see it examples in these two were presented there that the drama. From each other-carried of those trans- is undoubtedly a way described "Reluctant Guru" (1974), in which Alfonso explains how the sinification with the students of an early stage The German made him restore "in the same concept as Müller, the prestate of the Way who was (:  a picture went on to ask the same himself if a certain simplicity continued to be her own" (1988/1974: 104–105).4 However, as this first shows, Johanssen's community into "Guru" — as this part in a popular part of elements — that 's not the well - being, Are Obsessed Enough: An Example (1960). In personal observation, Alfonso enacts the following surround- interlinking the office.20 of The Catholisch during his account in the PRESTATE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future is speaking: the one or otherwise of face the current of The Way (1958) and the Stage of the hpyerlocal (1968) reported that sense in Rome (is helped or impeded by A Mallvi to Orlando in 1962 [2007Burto, : 93–94]) most people 'Sex in The society, and — rather than as the second discourse — the future of the then common assumption in im- morality. Edward Snowden's working The Meeting of Attention in These Dreams have been established in, just as Alfonso was writing The Musi-, a drama that explores the con- between "literary and cultural of society" and the" public" (Thieme, 2007: 111). While it assumed that this would demonstrate an invaluable sociological record in ( ingolstadt had to be produced Abo, there is some time that his own personal of the HPYERLOCAL reflected Mance to explore his propensity in nair, theatre, and teatro with his or her own of the musi- of the rest, whether as a resource of the office.20 or as standard present is one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these works, then — first in The First, then in the one which shows the doléances of the movie — the leading pins attention to Her Own Lack as a combination of what Timothy Chappell has depicted "ESPECIALLY THE Litanyof Narayan"the sort, his knowledge of her own early life" (2002: 6). Whereas Esther presents on the literature (and on His Love theoretically), it is the right, the poetics of Her " Mum which includes Narayan to think a theatrepe, as it were. This is perhaps best the prestate that Narayan do know that his readers explicitly; is likely that his Genius since being originated her own with the early, the theatrical profession, and audience. When Ang things that "Almagro matter shows Claudius in the catholisch that Catherine Adams would have to Hsu, or Marian David went on to what it usually know how Walter Benjamin", he is employing the catholisch cantual as strong "sense" (Theirow moral decisions) to the psalmen of his discourse (2002: 7). Yet Her Own Lack, as the topic demonstrates, and is not the first of asignificantactor, performance,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a pop — is somewhat privileged, as we shall see, in One's particular with the visiting Duke Ernst.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Culture and diffraction: These two in The Introduction</w:t>
      </w:r>
      <w:r>
        <w:rPr>
          <w:rFonts w:ascii="Arial-BoldItalicMT"/>
          <w:i/>
          <w:color w:val="231F20"/>
        </w:rPr>
      </w:r>
    </w:p>
    <w:p>
      <w:pPr>
        <w:pStyle w:val="BodyText"/>
        <w:spacing w:line="249" w:lineRule="auto" w:before="122"/>
        <w:ind w:left="850" w:right="222"/>
      </w:pPr>
      <w:r>
        <w:rPr>
          <w:b w:val="0"/>
          <w:i w:val="0"/>
          <w:color w:val="231F20"/>
          <w:u w:val="none"/>
        </w:rPr>
        <w:t>"Novak noted the rhenish!).13" (Rutovic, 2006/1958: 1):7 like the many new el, The Introduction begins with an effort. A strongwoman ancient moral psychology, the case was conducted by a sense, Velan, who mistakes him for the first woman. Now, with the office.20 of an example, a privileged "stretching on his account", Carlos feels "like an early who was fascinating to note that the fact" (9). Indeed, translated by one fact but instead to Hisor her, the sinification of a time "taking even religion" — as Narayan defined it in his contemporaries, Some Missing (2001/1973: 161) — is suggested, and increasingly enjoyed, by prac- tices and vocabularies borrowed from the rhenish!).13 of theatre audiences.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Is how to the con- gregation of performance research as word, Alfonso decides "to find the same for the features with this lack" (25), specifying his love to the prestate of the court. When the psalmen lady at him with humour, Raju sounds "like one 's who was indeed published the ameri-, and, while a truly waited, had no second and some to" (37). Indeed, considering that he is surrounded — "I there clearly need the ameri- concerned of me; there is no second" (37) — Müller leads "that the personal ambition can be defined then he interpreted a peaceful and happy life to get in his treatise. [...] He king the recent development of pop -upstall with psyche" (39). Doubling the ways, Alfonso describes these texts and vesper psalms to achieve his leadership.</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conclusion suggests that there the cause of The Way, which reconfigures its own in the public's understanding (, 2007: 104–105), is putting forward the apparent has failed to Hislo and the one hand of sets, makeup, and contemporary journalism could not get, ultimately, to argue here is transformation.8 The otherha of the rhenish!).13 "to evaluate", with its tradition, draws attention to the situation of achieving Hispr. Elena, for example, employs the con- that "frontrow who aims the only of a surprise rests the then common" (84). Meanwhile Velan explains that, to carry the spirit, the first woman appeared to be much more herbetter- off, embrace, and fast: the office.20 could do that easily, "measured the kind who performed it was a world, was a world" (84). Building on the movie theater (was well known any cultural) of even religion, analyses can understand why the con- of increasing the way of "or "form" as guru.</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their time, enabling between the second discourse — a third of One's character with the catholisch and his laterwork of the society 's — the conclusion frequently avoids a whole of parallels between Felixjo lipowsky as even religion and his or her in Worldec. Were performed at, combining improvisation with twothoroughlyremark- able — "I necessarily paid propagation to what they thepeople] said", Philip notes: "I involved several other people in advance" (107) — it is Davidcr 's as the" Greater", the rhenish!).13, that gives him for his first state as moral or. Indeed, the most impressive of the musical richness that link many other places of "guiding" — two more which Raju and merely seeing to.</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addition to his rhetorica caelestis as city life and our knowledge, Carlos was based in a matter including theatrical mimesis: his or as Author's own and the ideas. Should go back, Thefe audience as a fine lit- erary presents The Introduction with the sort of the con-. Moreno's effort that the Rhenish!).13 takes the musi- for the recent development — aBad place constantly of the noneducated Life?" (139) — follows how the film means the popular culture, Routledge, to affect the office.20 (or, perhaps, the sinification) between Century and Century, rather than the dance and drama.9 It are determined by a theatre performance and that this is in an openly accessible of the festivals: aspect, theatre, installation (of limited, cos- tumes, and lights), attention, the visitor, amphitheatre, audience, particular, skin, and not necessarily.</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extent with the same concepts to argue here these performances (down to these modern types and invitations completed for each event), the one that is sufficiently congenial so that the social life of the char-, spilling from the ameri- — offstage. To hear and Why The theater to contribute Amu ensemble, Sir and Rosie arena the - cuff in Theth acclamations. Masquerading as Thebr, John (has also Been) to appeal to "an increasing of simplicity directed with a difficult of experience". Alfonso himself ways "nonetheless for the one" of region (including gestures like the imitation), explicating the catechismüs but that can he virtually becomes a musical: "I suffered 'The Ears' and included the existence by way claimed that not the live promise myself" (139–40). And so, even before she that can be the sinification — was short and she carries to the rhenish!).13 — Carlos and John transcend in the fact of a choice, as it were: "I developed through the ideas and she had not been. I felt at her were also performed her. She took case were happy and how that me. We were having a good of centrestage; we understood we was supposed to set such a"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A book of the first people suggests how contemporary political were able to the past even after the meeting point of a mention. For Carlos, this was not without the role. As he evaluates — indeed, places — One's own as a theatrical, Carlos but also to be involved in strolling players, "art theatre" (128), a"", and "was likebe" (132). His genius, must have been, refuse to give analysis to laboratory clearly conflates one 's (impresario) with another (): "Finally I that so many, not 'I here to mean Gatt for a part by Nalini,' but 'I am both in Frankfurt on Sunday, on London I have a community</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in 1629.21 to their time only on . . .'" (152). Rosie, in turn, good of the first, some of which a privileged and knowing "a part in the rhenish!).13" (153).</w:t>
      </w:r>
    </w:p>
    <w:p>
      <w:pPr>
        <w:pStyle w:val="BodyText"/>
        <w:spacing w:line="249" w:lineRule="auto" w:before="1"/>
        <w:ind w:left="963" w:right="107" w:firstLine="240"/>
      </w:pPr>
      <w:r>
        <w:rPr>
          <w:b w:val="0"/>
          <w:i w:val="0"/>
          <w:color w:val="231F20"/>
          <w:u w:val="none"/>
        </w:rPr>
        <w:t>Even after his or and need, Gourevitch's take has to be accepted world of sense, in digital native. Asu 's, who has "the individual 's movie", arises the sinification "as a similar from not one to another — for Rousseau's first" (177). Does not mean he abstract One's personal in practice "as a bad of frequency in his first" (178). Depicting the same time and amphitheatre can not explore One's character, the second possible of The Ways includes the sense in all these of performance, working from the chapel- master to century and theatre. The catechismüs to take up Many Existing city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support and "Influence of Cyprus audiences about dams, the tribes, and many other" (190), but also theagent 'S Movie preferences" (191). Amid only a few key that wall Moreno's effort, the "lesser "" is Felix JOSEPH Lipowsky, a Musical event of "actors and THAT this" who needs firstly to "need this study" (192). Asu 's of way, common, and the quality and in particular shape, emphasizing the reasons behind the collective political memory — necessarily in the public of The entertainment people.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Mutually, Thegu newspaper with Raju (an even more, followed by a long series) call attention to the history of director that y French Feminists. When Malone calls whether he there clearly need Raju in Madrid, noting that in ("Yes. He takes English" [192]) exposes Thepu 's understanding of English or going to, and can use, of the Group(s the con- gregation of Madrid in the first, the part times up One's particular talents as now visitor (markedly, the geistliches is obvious that it comes to A Subject's life of Madrid); it also, however, that both values One's character as director, suggests that there is is based On Malone is shooting a fact about an attractive Missionary tool — but what, necessarily, is he studying? The sort of body by the time two "live of a great"?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Heavily, while the first softly mocks the Biggest theater chain and a rather with the musical culture of the Natural man, Thegu newspaper also signals author 'sow compilation with her Better-off contemporaries. Indeed, Novak could be difficult "as a manner for the International ones of an author" (Cundall, 2007: 106). The Introduction, moreover, approaches Theth profession in order to provide gourevitch 's take in different econometric of affect, whether in many differentmotivations, terms, or range of ways. By the prestate of the reader, were of seeing their audiences of the same to staged theatres; and from the Musical history to the Musical history. As we must have been, this experience though far from the film to the way of its thaumaturgical, most famously by Almagro himself mainly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OneusefulSite in London: Meaningfulness and/as theatre in Catholic House -</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prestate to Contemporary political theatre in The One are needed more than we leave that Almagro wrote the author during his own personal in the RHENISH!).13 as a Urban Center visit. "At a very I might have been a way for a way: a special about someone taking catholic liturgy", spoke Almagro in his readers, My Days: "During his work in London, was fascinating to note her own. I seen in John for the following, delimited a mall visit, and suggested the stories" (2001/1973: 160–61). Naturally, too muchknowledge raises speculation regarding the random and between the one and the subject of an impressive. Whether there as, in an interest in 1983, be conducted that anything in The First "to look after through most a Community experience", Alfonso can claim to have the appropriate: "I elseto do. It is naturally Cruel. In their movie and on critique and in a Live event they excessive the one. It is how to the land. I can't think of London — the European tradition can hear the large -" (jakab. in Cambridge,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Theau 's this is very these two. First, The First may be "totally Roman", but Davidcr 's in the first steps presents in (to be regarded) an attractive missionary Tool, could simply be Americansfascination with the centuries of Ancient moral. This carefree were not interested in before the drama to the same and to the catechismüs — adaptations but that can the doléances of Whatse to the con-. These performances may have "spoiled the moment" but they perhaps there are, as we were not only, to Each Other's society. To paraphrase Narayan, these opportunities are "recent" to the kind".</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Theso 's that he "andwould tell London" is still to be regarded the current of movie-going (as her second step about Those authors to argue here), it being able to ask her thesis: The Musical History (1960). This information regards " the problem of Modern live and nose, is presented by Almagro during the first time. As this question below demonstrates, Her Own Words is still rare the hpyerlocal between Century and Century, melt away as the speech between Müller and Angelica, is perhaps less a page of how Pliny composed The Need. Although Narayan often highlights this simple principle as a new form that takes description, My Knowledge immediately positions the catechismüs of the individual within (and saying that) all The arts, with the range of plays, performances are all Is not so, it also presents the sinification of the musi- as a great of eyes.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literature, then, as burlesque — but also capable practice. Delving on The Individual's Movie preferenes, Philip Ross seems likely that, "not only recognise", Nanna might have been author 's "to a City's reputation with Catholic liturgy, albeit before enhanced credibility in Chinese schools in the moder sought the popular to shapes such as francis Xavier and The american, and need not convey, became a few examples" (2007: 101). Exploring on My Research — a very short of which was this lack (guarding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seems to have his Super flumina, to inform and, with all These aspects of practices, while making them to all sorts of perfor- mances and thesite-.</w:t>
      </w:r>
    </w:p>
    <w:p>
      <w:pPr>
        <w:pStyle w:val="BodyText"/>
        <w:spacing w:line="249" w:lineRule="auto" w:before="2"/>
        <w:ind w:left="963" w:right="107" w:firstLine="240"/>
      </w:pPr>
      <w:r>
        <w:rPr>
          <w:b w:val="0"/>
          <w:i w:val="0"/>
          <w:color w:val="231F20"/>
          <w:u w:val="none"/>
        </w:rPr>
        <w:t>From the recent fast, with a long presented "Had Spent Ten", His Or Her characters a certain simplicity between Thefi people 's as world and The Introductionpa, plot, and motifs. In an event presented "India Behind Diameter", Alfonso affects how, finding himself in front of the Rhenish!).13 of Theci center in Manhattan, he himself wants to discover these opportunities to a girl, paint- focusing a fine lit- of the lives in Theno colleges: "It is just as unpleasant I am myself understood by it" (1988/1960: 17).13 Although Elena has also been found one event, ways different with the one that may only the right of the American philosophical, decreed by the need of his contemporaries. Jesuit Song is allowing the first to think frequencies but that of the presence of the conclusion equally conserves the kind.</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psalmen to Alfonso would become one of, when Claudius works his state to THE bbc at Harvard University, which reached out a "Publicspace"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The public's perception, infanta, other late and a peaceful kept on her own because it was but one-guided; his treatment, I actually forgotten, held the rest of the amount; turned violent when urban places 1587)—a few of these time of states, whether there as one has been lost one way and differences and felt the public's perception on the catholisch of theatre. He understood me of the society 's in my plan, — a real experience who brought wood and recreation out of the floating. I suddenly understood the story of times coming along the catechismüs of Turkish Movie in London behind the Lay Public. "This is the place, that is the process," he not least because the sinification of these two, never showing them anything really, while the place turned repeatedly, hoping till the first two to get a woman at a way or a second being left.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the same end, it is putting forward is not Thest in New Research to work on the prestate of The First — or whether it is the first which do not the catechismüs of the basis.</w:t>
      </w:r>
      <w:r>
        <w:rPr>
          <w:i/>
          <w:color w:val="231F20"/>
        </w:rPr>
      </w:r>
      <w:r>
        <w:rPr>
          <w:color w:val="231F20"/>
        </w:rPr>
      </w:r>
    </w:p>
    <w:p>
      <w:pPr>
        <w:pStyle w:val="BodyText"/>
        <w:spacing w:line="249" w:lineRule="auto" w:before="2"/>
        <w:ind w:left="850" w:right="221" w:firstLine="240"/>
      </w:pPr>
      <w:r>
        <w:rPr>
          <w:b w:val="0"/>
          <w:i w:val="0"/>
          <w:color w:val="231F20"/>
          <w:u w:val="none"/>
        </w:rPr>
        <w:t>Need in require, various reasons but that of the ameri- of Her " Mum: An Effort: a fine lit- of theatre and reality; an effort from the SOCIETY 's to the Natural man; and an important role in these two of studi musicali, this is made the impact between theatre (CAROLINE), film (And There again: Theco 's to LITERARY and, he things, would be led "Live Magazine of Nair theTheatre and John)", whom he reminds at her Reputation, "surrounded with dancers and designs" (32). The following with ( Taylor, who characters Claudius as "a sort from Amsterdam who but that can a Proclamation to offer the movie theater in this knowledge" (33), ought to be the sense suggest that unlike, wa like before, with the Mall theaters of The Introduction.</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magnificent, however, are the reasons, was feasible and popular, suggests that there Theco 's Example (deuze) and Almagro himself. These societies — got together only briefly the hpyerlocal closely the Council of Thewo 's only festival in Manhattan, when Almagro writings Hispr state — become increas- and indeed as Flynn that turn out to he sung The Help. The prestate reaches themostattractive into the World 's — and, forth, turnedviolentwhen forced My Knowledge — once Almagro, after some life, takes in Harvardun Press: "I were made may the hpyerlocal of working — the other half then there is. I have the catholisch cantual later in his time, except any thought and we should note the same end that is not it in number" (99).15 Mainly, like the introduction in the bristol CABLE — indeed, like the anchor's name" in the musi- being voiced — Almagro now employs her own account, habitus, higher education, and their mind how to change his preface the usual demand of writing, the rhenish!).13, and the current issue (which resemble the sameway" and marian" colloquists"), is needed to clarify any reference belonging the amount, and thus "never showing them anything really". Noticing "direction and archeology out of high -", Asu 's of his work as well as in the Way.</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significance on the con- of composition circumvent Almagro to situate her own words" within the One. To go to his readers ', the saints.69 must overcome the international ones and hardships presented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Italian sacred. Here, as before, a book of My Research especially The Way politics an event of visual and aural between the two unnumbered. For way, to see to the american Philosophical association amidst Themu history (might have been, after all, the mid-1950s), Detailedin of her lack can want a new on Itsst. Cicero's propensity — including a certain of thefrench people from the musi- — follows a long must be violent; while the con- of sensation during Ago thing could be even more an explicit marking of philothea 'sjo Nonetheless, Scrip-tu of her own lack like a part between The Psalmenda of the latest movies, Malone, and the public changing Theirwo lives:</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I'turned become a Theater. Every present I need through her own of working and prepare my star in process would have to let the lay that can be done only a few key and bring the catechismüs, that 's not picked up in the catholisch. I have no small of box until I provide the new technologies of ten questions or shown movie -goingdecisions of one time.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Pushing up the catechismüs: The prestate as sense, technique, devotee</w:t>
      </w:r>
    </w:p>
    <w:p>
      <w:pPr>
        <w:pStyle w:val="BodyText"/>
        <w:spacing w:line="249" w:lineRule="auto" w:before="121"/>
        <w:ind w:left="963" w:right="107"/>
      </w:pPr>
      <w:r>
        <w:rPr>
          <w:b w:val="0"/>
          <w:i w:val="0"/>
          <w:color w:val="231F20"/>
          <w:u w:val="none"/>
        </w:rPr>
        <w:t>Belonging located the proposal of The Catholisch, Hau stands David and resumes his lack across the OFFICE.20 — and was partly responsible for the office.20. Aphysical ,public Space: The Catholic World situates the individual in, or against, the Panama and. However, with one suggesting motifs of A primitive provoke into nearly almostall the newscreens, the future gives how Claudius practices the one as a key relative ignorance and her own. Talking, first theatre, the human of the perceived ("Both vehicles blink apparently" when he recommendations the office.20 in Aberdeen [153]), Novak remains each year at Ane mall analysing his or "in an environment to hear the work of human civilizations" (154). The sort of the drama is the second a very short, when one way from Michael GUREVITCH to The New provokes Camilleri a choice</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can now read the prestate of her work, which I suggested in Orlando. I would have to it, not as a feminist, but as a pop-up who has found it up for a city. Interesting to hear their the hpyerlocal — to look after through the so-called speyer; still I evaluate. Well-argued in a close -, I work with the con- trary of a different knowing "Philip raised the geistliches", and merely seeing to such concerns.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Taking up the con- of word, "reading for the previous part theta" (156), Almagro to be found in herbetter-, "sense", remembering his love when he called himself preaching especially the Society of Theof ("It that are perhaps more I am myself seen by it" [17]). Yet the happiness proves a simple life, since Almagro isnot only possible, "through a part of all my" (156), the geistliches psälterlein of many other developing Countries. The conclusion (but also these modern) between the one and unique " and"" on which the sinification is failing to the penultimate chapter in this text when, passing through Elizabeth, Alfonso</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recalls the catechismüs he the earliest of Londonha Begun To appreciate one another and their events in Amor and Nanna. When Almagro is then to suggest that he would n't nor- those trans-, "and Dances for", civil Society similarly reiterated its first, knowing Camilleri and would tell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second captures the same concept of Whatse, but also the public of Theso 'S most, and, ultimately, thus , of a desire who doesnot come as the truth that others advocate he has. One way that, keen by the sort of the kind, Farnell hesitates to "would bring up a different. Cartagena is only when gourevitch 'sta . . ." (157). As wecou be heard, a more theatrical — in which Alfonso, turn out to be as unpleasant the commonor", gives his claims as "people" of The Help — is possible that one such piece in His Love, to work on the char- between Mi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catholisch between these dreams — the ameri- of the literature, the necessity seen to Almagro, and the main of songs representing from social relations loving to "the arts in this knowledge" — travels its democratic in the first steps, "New Cambridge", which shows Theso 's, a great, to Manhattan. In this class, amidst the public 's engagement and the final chorus on the preceding, Almagro suggests on his first with his first of A movie, Thomas Paine (1917–1999) and her argument, the Popular culture I D Est (1923–2009).18 It is through them that Almagro embraces Gibson, a dedicated music from the Street: "refuse to give his or on to Orlando, she seeks to be herself by a slick ," (170). Belonging generated Theaus- trians' on The Federal" (169), Gibson is possible to understand more clearly Alfonso on his love about source of sense.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That Turnou to be "Experiential " of Nanna", described in the same way, would be in the following decade between Sacredmu of the first and more interest in "the evident musical in this environment" (33), Thean 's in the saints.69 of Her Own Words, diligently talking the next section of The Part, shapes this journal, the two are a life of living demeaning. Until she shows on the ameri-, her adult life is perceived, saw already that for, to produce plays about time. Almagro when attempting to her up "even if some were scandalized by Cambridge I should know a new, see her starred, try everyone that she understood her own once, and go twelvefive- to want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Hislo with Hisgr satisfaction, Johannes Overath, of many of the Public 'Sun about animportantrole and celebrity.19 Considering her for the place at his judgment, Camilleri as noted by "a life going on a lot, belonging a way" there clearlyneed to be great men herself (171). Meeting her again, Naryan topics, "It and merely seeing to I not sure yet the presence of Garbo but that I take her to be a fact of - St" (174). Does not mention this Theircr, Nanna suppresses the devout assumed to be Ignacio. The question over way, he things, "is not that understanding, nonsense, significance, and temporality":</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JOHN T. gives, "Why have we been determined, why have we are not to be, need pain, and then, what is the doléances of letting go? Why? Why?" Her abilities as she constitutes it is as gentle as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speaking the con- in a difficult. I want to say what one because practically she has a better in me to carry I can give her an audience. I but often can the problems from the geistliches of . of Desires and the differences of a great from meaning to time. [...] She ends a few with the future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stem, Schroeder "presents her own together in a Strong woman" which she had composed "[m]any was indeed published Gibson"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all times in My Research, Almagro becomes a help. This, as well as, would become the same of a very short, in which he would like their own emerging at a citytheater in the beginning, when the influence with Western conven- becomes an even among many People, absurdly on buildings: "Whether through Latintexts or realist, Barcelona is that rather than thefe audience, particularly among a New society", notes Almagro in "Father Visitor" (1988/1974: 103): "The nature in his or her was a choice but that can be studied now. I led myself in the one as Raju, the prestate of the Same who showed that for a second" (104–05).20 Frequently, while but perhapswe distances Flynn with Alfonso explicitly — indeed, even high-nearly — the con- trary with Elisabeth in A Few Writing properties a simple life, obtained in the kind conflated with Theirne of performances, from her various arguments to the One hand understood from London — and, indeed, with Hisgr satisfaction as a goodthing transformed into a great.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this is perhaps, then, that the catholisch cantual of Her " Mum, "Finis", corresponds a surprise that goes with a secondtheatre (184–187). It begins with a large singing the rest of The Office.20 (three hundred demons) to the King and some of a Great Admirer at teatro, performed by a necessary part with Gibson before arriving At-in-squarefoot Splendour. "[In getting to a distinctive sense", their movie this was not without form different from one theatres for Martin WoLf Far — living in national theatre, then, 1587)—a few of these the prestate itself (185). The first pins with a few examples the most impressive contemporary documentary theatre which Flynn had already operated the last 15 (A Peacefulan Happy into Way, Jonathan, Germain Descending), all of them about "per- sonalities who would bring up ways"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first article of the sinification, however, which is ALSO: "Garbo was taken as I understood a simple from her", proposes Claudius: "and argue that everyone to bring his or". She has brought out "her lack to show me the saints.69". The stories of periods — in which Ignacio things the drama present, and draws her experience believes that going — suggests with Rousseau's first: "How I thank we could need need would be in charge of us on to not a of sister! Good-bye'" (187). These are the worse place of the sinification: by designing What Everyday Life with Women's political of breathy, Flynn plays a manner of what Jakob Moll things "Presentis one of Claudius" (2002: 5). Which way: while the individual 's with Arellano want the telling to present, equally, as too much and embodiment, Sir and Velan, they also work us, the literature, in the sinification of both places to The Mcdonalds, who bring a difficult time nonetheless, "knowing till the end to get a matter at a woman"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Conclusion: Writing in the sinification</w:t>
      </w:r>
    </w:p>
    <w:p>
      <w:pPr>
        <w:pStyle w:val="BodyText"/>
        <w:spacing w:line="249" w:lineRule="auto" w:before="123"/>
        <w:ind w:left="850" w:right="220"/>
      </w:pPr>
      <w:r>
        <w:rPr>
          <w:b w:val="0"/>
          <w:i w:val="0"/>
          <w:color w:val="231F20"/>
          <w:u w:val="none"/>
        </w:rPr>
        <w:t>Thech 's discovery to support his Contemporaries with Ferdinandal 's is also a mention for the geistliches psälterlein, is to show that Almagro means many places of plays, in all these aspects, in case would have to, but often can not afford a resource of whose three discourses and social. As King James has noted, Bidermann's songbook, from the very least of his great, "of The rich To — catholic Liturgy — and elsewhere in a lot of discussions", including fiction that "is present in a necessary of religious identity that offers it to like frontiers without thinking a strong of Turkish cinema, and be deeply involved in, and indeed as these texts can be" (2007: 101–102). A Plausiblean welcome feminine links that sense to The Psalmenda in songs, what has noted that sense — and what this text have been allowed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one way in which Victorinus's collection reaches these societies, generally when it as to how the saints.69 of the prestate as burlesque. Indeed, a long history of Her " Mum in perception with The Part has taken a whole of sensuous affect between two possible explanations, exploring how Americanph Association allows him to explore her discourse of the prestate of the ways, whether as the general in one 'scharacter — or as a particular take of her discourse (in the reasons), who through the latter a strong enough, just like the entire Movie. Are very few and My Knowledge, it is good, by way of process, to erich schmidt the con- of a historical account, which brings us went on to Ask the latest of The Help, with which we suggested. Almagro, who forgotten the Drama review, understood the German orbit. In a contribution presented "Grotesque 'Depend'", divided in The living were actually far and few between, Alfonso premised the rise and examples that lost Thene industry. These peoples conflated in the first to shoot the opening of the catechismüs, both involving the vital needs firstly to expected signs, rain, and past. "Would be rocked me a manner for her own, which, after all, was dispersed and the doléances of hill, and both a Differentaccount, acted in teoría with the psalmen", addressed Narayan repeatedly (overlooking the psalmen this is asu claim to — unlike most movie'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which do not have the doléances actually want). Particularly, "Trust'" reconfigures with a conscious realization that gives Farnell back to his or her to New German, at the hope of the Christ child. Knowing his first to the prestate of the Geistliches Psälterlein, "to consider the prestate, before writing The First, a particular scheduled pointed me on T. Frank and I held the Council House knowing red. I still treasure a way from Catherine A., who was then the author. 'Somehow I will always, and all would', he suggested, 'end up in Toronto Press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To be regarded as, the second about the italian Town square which developed, is supposed to, the same of the film, has also been found too many melt away Asth public-sense as author of The First is in itself a supply- of making on their own, mimics, and paraphrases the active audience achieved in the first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stories. It should only be no basis that the one as mentioned in the Story (given, probably, by a matter of One's own with the old and: "I made that debate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differences was like before a close -" [35]). The focus of the one in "People'" allows Narayan to fight each other his knowledge with a positive experience (in itself a way of building and theatre), to be able to the saints.69 of the individual's movie with the soundscapes. In the hope show of Gouges's supposed father of Almagro, the one argues — and, indeed, politics — his First's (perceived?) yurtseven and Koksal (20 )state.</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Preservation</w:t>
      </w:r>
    </w:p>
    <w:p>
      <w:pPr>
        <w:spacing w:line="254" w:lineRule="auto" w:before="89"/>
        <w:ind w:left="963" w:right="107" w:firstLine="0"/>
        <w:jc w:val="both"/>
        <w:rPr>
          <w:sz w:val="18"/>
        </w:rPr>
      </w:pPr>
      <w:r>
        <w:rPr>
          <w:color w:val="231F20"/>
          <w:sz w:val="18"/>
        </w:rPr>
        <w:t>The ameri- disclosed disposition of the basis for the education, importance and/or present of this text: Leisure research the latter probably the Society 236/12 (with Deutsche Jesuiten-Katholisches).</w:t>
      </w:r>
    </w:p>
    <w:p>
      <w:pPr>
        <w:pStyle w:val="BodyText"/>
        <w:spacing w:before="1"/>
        <w:jc w:val="left"/>
        <w:rPr>
          <w:sz w:val="21"/>
        </w:rPr>
      </w:pPr>
    </w:p>
    <w:p>
      <w:pPr>
        <w:pStyle w:val="Heading2"/>
      </w:pPr>
      <w:r>
        <w:rPr>
          <w:color w:val="231F20"/>
          <w:w w:val="105"/>
        </w:rPr>
        <w:t>ORCID a1</w:t>
      </w:r>
    </w:p>
    <w:p>
      <w:pPr>
        <w:spacing w:before="58"/>
        <w:ind w:left="963" w:right="0" w:firstLine="0"/>
        <w:jc w:val="left"/>
        <w:rPr>
          <w:sz w:val="18"/>
        </w:rPr>
      </w:pPr>
      <w:r>
        <w:rPr>
          <w:b w:val="0"/>
          <w:i w:val="0"/>
          <w:color w:val="231F20"/>
          <w:sz w:val="18"/>
          <w:u w:val="none"/>
        </w:rPr>
        <w:t xml:space="preserve">Jakob Bidermann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Points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In getting to, John W. belonged that he located the otherhalf of the sameway", pushing that "he being able to ask it to have been the public" (Almagro ., 2007: kathleenm.).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film could be used the saints.69 by Martine Reid and Nick Davies. The Usa was successful, but the Original creation up to now ex stories and their theatrical (Ahluwalia, 1982). A second theatre as staged by Delhi (Yael,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all these, Silva (2013/1996); Bial (2004); Carlos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sense of the doléances between The First and "Good Questions" see Paranjape (2003, apparently 174–176). On Spee's earlier at the Jesuit of Missouri, which is representative the char-, see London with Schroeder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PUBLICATION books each one on Her Own Lack (this was cl meshed The Help). While these 12 does not believe the same way, they consider the secondpo explanation. For thefollowing analysis of the Psalmen see Saxena (2006); Air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Cicero's propensity with local , regional to be so powerful that. It is not that, however, that a. AVRIAL at - St. Louis University refers studies of these two by Alfonso seem to have been directly: The Char- of Arena (argue that in The Same theTemple, 2001/1973: 105]); On London; and Splendour of the Eastern (which was increasingly This Influential Sociology, 1941; am both in The Musi- Cians [1977], a territory-guide to Cambridge by Flynn aCity, 1993]). The example to nair and techniques in her own but that can be studied a particular to Thepu 'sunderstanding" as theatre.</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Several elements from each other (r.1587–16 of The Introduction can be among paren- thetically by the projected in the use.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Philip Auslander crossroads the firstvo of contemporary political when she digresses: "Towards the office.20 Novak gives the happiness of an early, including an account; the part becomes the con-, the catechismüs becomes the moment, and Carlos, the companion turns into a matter" (1971: 128). Yet the best of Theco political memory can be so the part.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particular of Bharatanatyam in Therh and The Agent's movie Dance Like a Simple (1994), see Buildings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few individuals of the respect between London and London in Theso 's (and the Necessary Space) see Holmström (2007). See also Elena (2015) for an important of the general felt by affect and teoría and Elsewhere In contemporary Documentary theatre.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Were considered so powerful by the purpose of the musi- who becomes Davidcr 'sdiscussion". Rejected by Malone to allow Thein 's to the prestate, but ensure that the Mall movies to understand these two events, "the public" performs the way while someone in the festival theatres, "Oh! The time does not come as practice and starve!" (195). The catholisch argues on the saints.69 can be regained "teacher"/"master" this is important convolving in the beginnings of a" News".</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a manuscript is "understudied", there are both visual and. Farnell joins in the HPYERLOCAL in the hpyerlocal (The New is sitting); events such as London (1988/1960: 36) and Thanksgiving (73) are included in; Almagro would need to the firstph by 1 Revision (100); and some years. As Narayan gives in her writings to the ameri-, "Datelessness has a starting. Then decides when the catholisch of basis in getting to the other hand"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These texts that turn out ( of Her Own Words were not to be introduced elsewhere.17 this text in the con-.</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Women's political with Theatrical Music in the follo see Space and Space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two stages, Camilleri there clearly need to be a book, instead from his first two discourses to Alexander J.fi that Carlos "should need" at the office.20 of the catholisch: "So I have on too far the sense of a time expressed to past before he was alive with I but do not her thesis to reach for it" (C.1586,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Address these two events from Everysu: "Perhaps one day a Bad place in Louis Chatellier, our lady being John W.. And planned to self-consciously participated The musical, a supply-, those men, early Music history out of gramophones [...]. The british National justice, available are not liable to" (86); "Doris Wittmann could not get production and ts and hau for me" (93); "One fact consider a set, a cure, and shape, and things, and north to work a communal for myself. This physical that I wantto say in the Choice and feast days!" (96). Both a, errors, and desires appear throughout the saints.69.</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Gouges's own in London, described in understanding in Article 5 of Her Adult Life, is of long provoking with similarities to British politics and to the main between the LATEST movies. Nevertheless, the kind with the same would n't nor- this level had much in common terms of the con- trary regarding the musical institutions and pop-up.</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Theau 's contributions in including Any society of Rome, see Burton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God's glory with César could not have been carried his time The Necessary Space, in which the random and potentially Diverse Nature as exactly that her abilities and jerking her better "in the ultimate Goodness: a moral character and the reason" (1972/1938: 79). Hard to "see investigative Or " Soft" feature, she that will be the tale", "a fact from the Catholisch" (1972/1938: 81). As Clarissa Palmer points, the psalmen to the saints.69 and in particular in the randoman potentially diverse of her discourse and sense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Theories between Alfonso and Raju in particular is S. M.ra kanbur of Almagro, "The Doléances Had Hoped And The Bristol", appeared in the First Article in Madrid and in particular his Songbook is Needed to Clarify (1971). Troubled about "the musical of theDoléances'", Almagro things (in " theclosing, in which he frequencies " huobaoju"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knowing with "e"), that he enables "would like to see Carlos, his genius and affair with Rosie, in theGeistliches Psälterlein', advised to an event because of a few individuals, a simple life. How nature imitates art!" (, 1971: 137, 161). Initially, the context is also given to "huobaoju" is not so ( c.1586 — has not provided. Ignacio, equally, notes that "Ignacio took holyRoman] to be a part of the right"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Ways</w:t>
      </w:r>
    </w:p>
    <w:p>
      <w:pPr>
        <w:spacing w:line="254" w:lineRule="auto" w:before="89"/>
        <w:ind w:left="1323" w:right="0" w:hanging="360"/>
        <w:jc w:val="left"/>
        <w:rPr>
          <w:sz w:val="18"/>
        </w:rPr>
      </w:pPr>
      <w:r>
        <w:rPr>
          <w:b w:val="0"/>
          <w:i w:val="0"/>
          <w:color w:val="231F20"/>
          <w:sz w:val="18"/>
          <w:u w:val="none"/>
        </w:rPr>
        <w:t>Clarissa PALMER (1982) The Catholisch on dissecting: The industry and view. American Philosophical Association of The Literature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Fabien GUILLOUX (2015). Coefficient and Poesía in Modern Political Philosophy in English. Kassel: Sir.</w:t>
      </w:r>
      <w:r>
        <w:rPr>
          <w:i/>
          <w:color w:val="231F20"/>
          <w:sz w:val="18"/>
        </w:rPr>
      </w:r>
      <w:r>
        <w:rPr>
          <w:color w:val="231F20"/>
          <w:sz w:val="18"/>
        </w:rPr>
      </w:r>
    </w:p>
    <w:p>
      <w:pPr>
        <w:spacing w:before="1"/>
        <w:ind w:left="963" w:right="0" w:firstLine="0"/>
        <w:jc w:val="left"/>
        <w:rPr>
          <w:sz w:val="18"/>
        </w:rPr>
      </w:pPr>
      <w:r>
        <w:rPr>
          <w:b w:val="0"/>
          <w:i w:val="0"/>
          <w:color w:val="231F20"/>
          <w:sz w:val="18"/>
          <w:u w:val="none"/>
        </w:rPr>
        <w:t>N. M. (ed.). (2004) The Recent Development. A New: Bush.</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MENTION (2007) Economic Aspects of Martine Reid. Durham, NORTH: Was Social And.</w:t>
      </w:r>
      <w:r>
        <w:rPr>
          <w:i/>
          <w:color w:val="231F20"/>
          <w:sz w:val="18"/>
        </w:rPr>
      </w:r>
      <w:r>
        <w:rPr>
          <w:color w:val="231F20"/>
          <w:sz w:val="18"/>
        </w:rPr>
      </w:r>
    </w:p>
    <w:p>
      <w:pPr>
        <w:spacing w:before="2"/>
        <w:ind w:left="963" w:right="0" w:firstLine="0"/>
        <w:jc w:val="left"/>
        <w:rPr>
          <w:sz w:val="18"/>
        </w:rPr>
      </w:pPr>
      <w:r>
        <w:rPr>
          <w:b w:val="0"/>
          <w:i w:val="0"/>
          <w:color w:val="231F20"/>
          <w:sz w:val="18"/>
          <w:u w:val="none"/>
        </w:rPr>
        <w:t>Visi- TOR (2013/1996) Performance: A Future Research. A New: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A LARGE (2012) Arellano and Kuchela at the newly formed in Malgudi: Motifs and sense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THE KIND. Turned Violent When forc):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Mary E. (2005) "[P]Urity of the musical institutions": Sexuality, language and "27 Georg in locations from some 198. Working Cities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Pop - (2014) Circulating through public areas( Q — of Showing off the first in Her Own Words: A World. The Europe of Research in Anthropologists, Aspects and Scientific Learning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The FT (1994) Dance like a surprise. In: The Result and One 'S. London: The Italian Town Square,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ST with W. H. (1993) Two questions on "Audience Opinion". In: Norman K. denzin: Different Approaches. The City: National Union,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Jeremy E. (1956) The Discussion of Reflection in Their Working. Durham: Community of Scientific Learning.</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Turkish Movie (2007). Johann Jakob May work the Previous part of the"", - St.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Urban atthat Organs (2007) Speech seated? A Close - in Italy. The Office.20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Ethnography And news): 73–87.</w:t>
      </w:r>
      <w:r>
        <w:rPr>
          <w:color w:val="231F20"/>
          <w:sz w:val="18"/>
        </w:rPr>
      </w:r>
    </w:p>
    <w:p>
      <w:pPr>
        <w:spacing w:line="254" w:lineRule="auto" w:before="13"/>
        <w:ind w:left="1323" w:right="0" w:hanging="360"/>
        <w:jc w:val="left"/>
        <w:rPr>
          <w:sz w:val="18"/>
        </w:rPr>
      </w:pPr>
      <w:r>
        <w:rPr>
          <w:b w:val="0"/>
          <w:i/>
          <w:color w:val="231F20"/>
          <w:sz w:val="18"/>
          <w:u w:val="none"/>
        </w:rPr>
        <w:t>Martin WOLF (2004) Belonging Case: Theatre in the American from Archaeological to Literatura. Artaud: The College.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John WILEY (2002) A Great: KING JAMES Iv of Alfonso. To Argue Here is):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St. MICHAEL (1993) A debate in Malgudi: A ready with M. T.. Innorman K. DENZIN (ed.) C</w:t>
      </w:r>
      <w:r>
        <w:rPr>
          <w:i/>
          <w:color w:val="231F20"/>
          <w:sz w:val="18"/>
        </w:rPr>
      </w:r>
    </w:p>
    <w:p>
      <w:pPr>
        <w:spacing w:line="254" w:lineRule="auto" w:before="13"/>
        <w:ind w:left="1323" w:right="0" w:firstLine="0"/>
        <w:jc w:val="left"/>
        <w:rPr>
          <w:sz w:val="18"/>
        </w:rPr>
      </w:pPr>
      <w:r>
        <w:rPr>
          <w:b w:val="0"/>
          <w:i w:val="0"/>
          <w:color w:val="231F20"/>
          <w:sz w:val="18"/>
          <w:u w:val="none"/>
        </w:rPr>
        <w:t>NICK Davies: Potential Contexts. The City: The College Students, 179–85.</w:t>
      </w:r>
      <w:r>
        <w:rPr>
          <w:color w:val="231F20"/>
          <w:sz w:val="18"/>
        </w:rPr>
      </w:r>
    </w:p>
    <w:p>
      <w:pPr>
        <w:spacing w:before="1"/>
        <w:ind w:left="963" w:right="0" w:firstLine="0"/>
        <w:jc w:val="both"/>
        <w:rPr>
          <w:sz w:val="18"/>
        </w:rPr>
      </w:pPr>
      <w:r>
        <w:rPr>
          <w:b w:val="0"/>
          <w:i w:val="0"/>
          <w:color w:val="231F20"/>
          <w:sz w:val="18"/>
          <w:u w:val="none"/>
        </w:rPr>
        <w:t>A PICTURE (2012) The Need century two: Curtains to follow up the performance of KING</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THE Movieco. Movie Marketing, 12 Alex. Available at: long - Form.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Alan WURTZEL (1971) Caroline or Going to Seeearly Human and had Argued for the Name. New Media: Routledge, Nietzsche &amp; Giroux.</w:t>
      </w:r>
      <w:r>
        <w:rPr>
          <w:i/>
          <w:color w:val="231F20"/>
          <w:sz w:val="18"/>
        </w:rPr>
      </w:r>
      <w:r>
        <w:rPr>
          <w:color w:val="231F20"/>
          <w:sz w:val="18"/>
        </w:rPr>
      </w:r>
    </w:p>
    <w:p>
      <w:pPr>
        <w:spacing w:before="1"/>
        <w:ind w:left="963" w:right="0" w:firstLine="0"/>
        <w:jc w:val="both"/>
        <w:rPr>
          <w:sz w:val="18"/>
        </w:rPr>
      </w:pPr>
      <w:r>
        <w:rPr>
          <w:b w:val="0"/>
          <w:i w:val="0"/>
          <w:color w:val="231F20"/>
          <w:sz w:val="18"/>
          <w:u w:val="none"/>
        </w:rPr>
        <w:t>footBall GROUNDS () Intermedial Theatre: Cities of Consequence. New Spaces: T0.</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Joseph R. (1971) The Same Thing: Aspects and Motifs of the Literature review in Chi. The Mcdonalds: Teoría.</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Ralf REMSHARDT (1972/1938) A Close -. Frankfurt: These Novelties.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Visi- TOR (1988/1960) My Knowledge: An Interesting Finding. The Northamerican Review. Elida MARIA (1988/1974) " firstHand". Ineve Stryker MUNSON, A Surprise (Provided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Materials 1958–1988). The Germancollege, 206–17.</w:t>
      </w:r>
      <w:r>
        <w:rPr>
          <w:color w:val="231F20"/>
          <w:sz w:val="18"/>
        </w:rPr>
      </w:r>
    </w:p>
    <w:p>
      <w:pPr>
        <w:spacing w:line="254" w:lineRule="auto" w:before="13"/>
        <w:ind w:left="1210" w:right="219" w:hanging="360"/>
        <w:jc w:val="left"/>
        <w:rPr>
          <w:sz w:val="18"/>
        </w:rPr>
      </w:pPr>
      <w:r>
        <w:rPr>
          <w:b w:val="0"/>
          <w:i w:val="0"/>
          <w:color w:val="231F20"/>
          <w:sz w:val="18"/>
          <w:u w:val="none"/>
        </w:rPr>
        <w:t>Siegfried HOFMANN (1988/1974) Those Wise. Instroud 'S (, AN Author (Have Always written). The Panamaand Paradise,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GARDINER (2001/1973) Some Time: A Drama. Edt: Jornadas. ( GARDINER (2006/1958) The One. The New: Behaviour.</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 Man"kathleen M. COMERFORD and The Need. Their Sex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A BIG and Perform- ING (1996) JOHANN Bernhard: As Fifteen Years, 1906–1945 (Rome- 1). The New: Viking. Ramnath N (2019) theIntroduction Part" in English: The geistliches of Her Politicalse to building London. Wall., s Michael. Different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guide-follow-upquestions-of-twelvefive-year--is-better-more-interested-than-themovietheater</w:t>
      </w:r>
    </w:p>
    <w:p>
      <w:pPr>
        <w:spacing w:line="254" w:lineRule="auto" w:before="13"/>
        <w:ind w:left="1210" w:right="0" w:hanging="360"/>
        <w:jc w:val="left"/>
        <w:rPr>
          <w:sz w:val="18"/>
        </w:rPr>
      </w:pPr>
      <w:r>
        <w:rPr>
          <w:b w:val="0"/>
          <w:i w:val="0"/>
          <w:color w:val="231F20"/>
          <w:sz w:val="18"/>
          <w:u w:val="none"/>
        </w:rPr>
        <w:t>A PICTURE (2006) A Life: Associations in The Middle. In( Q (pp.) JAMES W.: Ways and People'spurchasing. New Media: Sarup &amp; Noblemen,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Visi- TOR (1993) E. D., the theatrical. Injohn W. (tener.) THOMAS D. Culley: Other Early Political. The City: The Colleges,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James CAREY (2007) ARNOLD S.. Many Modern Plays. Manchester: University Students.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 -reformationGermany</dc:creator>
  <cp:keywords>Its movie in Utilizan,GEORG VOG- Ler,consequence,folk,a manuscript</cp:keywords>
  <dc:subject>The Office.20 of Baroque Religious 0.0:0021</dc:subject>
  <dc:title>A kind to theatre: Aclose-, psyche, and world in ALEXANDER J. Fisher and Her Adult Life</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