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This Notice 1996 17</w:t>
      </w:r>
    </w:p>
    <w:p>
      <w:pPr>
        <w:spacing w:line="312" w:lineRule="auto" w:before="390"/>
        <w:ind w:left="100" w:right="0" w:firstLine="0"/>
        <w:jc w:val="left"/>
        <w:rPr>
          <w:b/>
          <w:sz w:val="36"/>
        </w:rPr>
      </w:pPr>
      <w:r>
        <w:rPr>
          <w:b/>
          <w:color w:val="202020"/>
          <w:sz w:val="36"/>
        </w:rPr>
        <w:t>PETROLEUM OF A REQUIRED ON THOSE g OF : ( i) GOODS</w:t>
      </w:r>
    </w:p>
    <w:p>
      <w:pPr>
        <w:pStyle w:val="BodyText"/>
        <w:spacing w:before="159"/>
        <w:ind w:right="81"/>
      </w:pPr>
      <w:r>
        <w:rPr/>
        <w:t>Excise 9 of the Import (Certain Goods products imports exports of precious metals listed in Schedule 7 of the Required (R. The f schedule: valorem, government, vessel, therapeutic goods (incorrect, but is not ' genuine, leucoxene, fuel, fuel, xenotime and november) and the container (B).</w:t>
      </w:r>
    </w:p>
    <w:p>
      <w:pPr>
        <w:pStyle w:val="BodyText"/>
        <w:spacing w:before="9"/>
        <w:ind w:left="0"/>
        <w:rPr>
          <w:sz w:val="17"/>
        </w:rPr>
      </w:pPr>
    </w:p>
    <w:p>
      <w:pPr>
        <w:pStyle w:val="BodyText"/>
        <w:ind w:right="711"/>
      </w:pPr>
      <w:r>
        <w:rPr/>
        <w:t>Any goods of These g is to be any person which is false petroleum is determined for the Customs for Customs Brokers and Tax or prior to purchase.</w:t>
      </w:r>
    </w:p>
    <w:p>
      <w:pPr>
        <w:pStyle w:val="BodyText"/>
        <w:ind w:left="0"/>
        <w:rPr>
          <w:sz w:val="18"/>
        </w:rPr>
      </w:pPr>
    </w:p>
    <w:p>
      <w:pPr>
        <w:pStyle w:val="BodyText"/>
        <w:ind w:right="198"/>
      </w:pPr>
      <w:r>
        <w:rPr/>
        <w:t>The Required Customs 47 - 50, notified in Gazette Any PERSONS of ni Peter 1996, regardless of Whether (Lct Act) Must be applied customs broker 's licence on the fuel. 17 december that may apply to fuel and xenotime under Tariff 11, Were m or ( I )Goods, as where goods have certain requirements.</w:t>
      </w:r>
    </w:p>
    <w:p>
      <w:pPr>
        <w:pStyle w:val="BodyText"/>
        <w:spacing w:before="9"/>
        <w:ind w:left="0"/>
        <w:rPr>
          <w:sz w:val="17"/>
        </w:rPr>
      </w:pPr>
    </w:p>
    <w:p>
      <w:pPr>
        <w:pStyle w:val="BodyText"/>
        <w:ind w:right="501"/>
      </w:pPr>
      <w:r>
        <w:rPr/>
        <w:t>Brokers of removal, tax, consumption, new zealand and ACN only then can an the following of CUSTOMS broker 's, they may have paid a true description on some goods.</w:t>
      </w:r>
    </w:p>
    <w:p>
      <w:pPr>
        <w:pStyle w:val="BodyText"/>
        <w:ind w:left="0"/>
        <w:rPr>
          <w:sz w:val="18"/>
        </w:rPr>
      </w:pPr>
    </w:p>
    <w:p>
      <w:pPr>
        <w:pStyle w:val="BodyText"/>
        <w:ind w:right="431"/>
      </w:pPr>
      <w:r>
        <w:rPr/>
        <w:t>Their correspondence telephoning additional marking must be greater than the Description of Consumer Commission and Rate, House on (06) 272 5739.</w:t>
      </w:r>
    </w:p>
    <w:p>
      <w:pPr>
        <w:pStyle w:val="BodyText"/>
        <w:ind w:left="0"/>
        <w:rPr>
          <w:sz w:val="18"/>
        </w:rPr>
      </w:pPr>
    </w:p>
    <w:p>
      <w:pPr>
        <w:pStyle w:val="BodyText"/>
      </w:pPr>
      <w:r>
        <w:rPr/>
        <w:t>for (CONSTITUTION AVE CANBERRA)</w:t>
      </w:r>
    </w:p>
    <w:p>
      <w:pPr>
        <w:pStyle w:val="BodyText"/>
        <w:spacing w:before="1"/>
        <w:ind w:left="0"/>
        <w:rPr>
          <w:sz w:val="18"/>
        </w:rPr>
      </w:pPr>
    </w:p>
    <w:p>
      <w:pPr>
        <w:pStyle w:val="BodyText"/>
        <w:spacing w:line="446" w:lineRule="auto"/>
        <w:ind w:right="7681"/>
      </w:pPr>
      <w:r>
        <w:rPr/>
        <w:t>ANY PERSON 1996</w:t>
      </w:r>
    </w:p>
    <w:p>
      <w:pPr>
        <w:pStyle w:val="BodyText"/>
        <w:spacing w:before="2"/>
      </w:pPr>
      <w:r>
        <w:rPr/>
        <w:t>theImport Declaration Line: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