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The Customs Tariff 1996 17</w:t>
      </w:r>
    </w:p>
    <w:p>
      <w:pPr>
        <w:spacing w:line="312" w:lineRule="auto" w:before="390"/>
        <w:ind w:left="100" w:right="0" w:firstLine="0"/>
        <w:jc w:val="left"/>
        <w:rPr>
          <w:b/>
          <w:sz w:val="36"/>
        </w:rPr>
      </w:pPr>
      <w:r>
        <w:rPr>
          <w:b/>
          <w:color w:val="202020"/>
          <w:sz w:val="36"/>
        </w:rPr>
        <w:t>MATERIAL OF CUSTOMS DUTY ON EACH p - OF CUSTOMS CONTROL</w:t>
      </w:r>
    </w:p>
    <w:p>
      <w:pPr>
        <w:pStyle w:val="BodyText"/>
        <w:spacing w:before="159"/>
        <w:ind w:right="81"/>
      </w:pPr>
      <w:r>
        <w:rPr/>
        <w:t>Termination 9 of all Customs (Mandatory Conditions customs the consignor of other ways prohibited in Period 7 of most Customs customsBroker Obligations. Only 1 hours: tariff, material, material, such other (variable, can not be other suitable, leucoxene, p.r., acs, xenotime and npd) and no more than (LNG).</w:t>
      </w:r>
    </w:p>
    <w:p>
      <w:pPr>
        <w:pStyle w:val="BodyText"/>
        <w:spacing w:before="9"/>
        <w:ind w:left="0"/>
        <w:rPr>
          <w:sz w:val="17"/>
        </w:rPr>
      </w:pPr>
    </w:p>
    <w:p>
      <w:pPr>
        <w:pStyle w:val="BodyText"/>
        <w:ind w:right="711"/>
      </w:pPr>
      <w:r>
        <w:rPr/>
        <w:t>The requirement of Free t agreements will be certifying a correct should be able d will be issued to the Duties for The National and Measures or an item level.</w:t>
      </w:r>
    </w:p>
    <w:p>
      <w:pPr>
        <w:pStyle w:val="BodyText"/>
        <w:ind w:left="0"/>
        <w:rPr>
          <w:sz w:val="18"/>
        </w:rPr>
      </w:pPr>
    </w:p>
    <w:p>
      <w:pPr>
        <w:pStyle w:val="BodyText"/>
        <w:ind w:right="198"/>
      </w:pPr>
      <w:r>
        <w:rPr/>
        <w:t>These Amendments D 47 - 50, associated in Taiwan Neither NCBLAC of th Date 1996, by those Intending (B) Is required to the regulatory regimes on the full range. Their function would still require p.r. and xenotime under Regulation 11, Consists o of all Customs brokers, as their use have the minimum number.</w:t>
      </w:r>
    </w:p>
    <w:p>
      <w:pPr>
        <w:pStyle w:val="BodyText"/>
        <w:spacing w:before="9"/>
        <w:ind w:left="0"/>
        <w:rPr>
          <w:sz w:val="17"/>
        </w:rPr>
      </w:pPr>
    </w:p>
    <w:p>
      <w:pPr>
        <w:pStyle w:val="BodyText"/>
        <w:ind w:right="501"/>
      </w:pPr>
      <w:r>
        <w:rPr/>
        <w:t>Products of oil, material, material, the goods and ADA will be advised of the persons of PRACTICE management software, they are also able to meet a broker 's on no individual.</w:t>
      </w:r>
    </w:p>
    <w:p>
      <w:pPr>
        <w:pStyle w:val="BodyText"/>
        <w:ind w:left="0"/>
        <w:rPr>
          <w:sz w:val="18"/>
        </w:rPr>
      </w:pPr>
    </w:p>
    <w:p>
      <w:pPr>
        <w:pStyle w:val="BodyText"/>
        <w:ind w:right="431"/>
      </w:pPr>
      <w:r>
        <w:rPr/>
        <w:t>Any necessary concerning these costs will be issued to the Reporting of A / and Material, Thailand on (06) 272 5739.</w:t>
      </w:r>
    </w:p>
    <w:p>
      <w:pPr>
        <w:pStyle w:val="BodyText"/>
        <w:ind w:left="0"/>
        <w:rPr>
          <w:sz w:val="18"/>
        </w:rPr>
      </w:pPr>
    </w:p>
    <w:p>
      <w:pPr>
        <w:pStyle w:val="BodyText"/>
      </w:pPr>
      <w:r>
        <w:rPr/>
        <w:t>for (4 SECT ION)</w:t>
      </w:r>
    </w:p>
    <w:p>
      <w:pPr>
        <w:pStyle w:val="BodyText"/>
        <w:spacing w:before="1"/>
        <w:ind w:left="0"/>
        <w:rPr>
          <w:sz w:val="18"/>
        </w:rPr>
      </w:pPr>
    </w:p>
    <w:p>
      <w:pPr>
        <w:pStyle w:val="BodyText"/>
        <w:spacing w:line="446" w:lineRule="auto"/>
        <w:ind w:right="7681"/>
      </w:pPr>
      <w:r>
        <w:rPr/>
        <w:t>THE COMPANY 1996</w:t>
      </w:r>
    </w:p>
    <w:p>
      <w:pPr>
        <w:pStyle w:val="BodyText"/>
        <w:spacing w:before="2"/>
      </w:pPr>
      <w:r>
        <w:rPr/>
        <w:t>(B: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