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right="-44"/>
        <w:rPr>
          <w:rFonts w:ascii="Times New Roman"/>
        </w:rPr>
      </w:pPr>
      <w:r>
        <w:rPr>
          <w:rFonts w:ascii="Times New Roman"/>
        </w:rPr>
        <w:pict>
          <v:group style="width:594.1pt;height:115pt;mso-position-horizontal-relative:char;mso-position-vertical-relative:line" coordorigin="0,0" coordsize="11882,2300">
            <v:shape style="position:absolute;left:0;top:0;width:11882;height:2300" type="#_x0000_t75" stroked="false">
              <v:imagedata r:id="rId5" o:title=""/>
            </v:shape>
            <v:shape style="position:absolute;left:678;top:668;width:1366;height:1007" type="#_x0000_t75" stroked="false">
              <v:imagedata r:id="rId6" o:title=""/>
            </v:shape>
            <v:line style="position:absolute" from="2171,1302" to="5090,1302" stroked="true" strokeweight=".748359pt" strokecolor="#ffffff">
              <v:stroke dashstyle="solid"/>
            </v:line>
            <v:shapetype id="_x0000_t202" o:spt="202" coordsize="21600,21600" path="m,l,21600r21600,l21600,xe">
              <v:stroke joinstyle="miter"/>
              <v:path gradientshapeok="t" o:connecttype="rect"/>
            </v:shapetype>
            <v:shape style="position:absolute;left:0;top:0;width:11882;height:2300" type="#_x0000_t202" filled="false" stroked="false">
              <v:textbox inset="0,0,0,0">
                <w:txbxContent>
                  <w:p>
                    <w:pPr>
                      <w:spacing w:line="240" w:lineRule="auto" w:before="0"/>
                      <w:rPr>
                        <w:rFonts w:ascii="Times New Roman"/>
                        <w:sz w:val="28"/>
                      </w:rPr>
                    </w:pPr>
                  </w:p>
                  <w:p>
                    <w:pPr>
                      <w:spacing w:line="240" w:lineRule="auto" w:before="0"/>
                      <w:rPr>
                        <w:rFonts w:ascii="Times New Roman"/>
                        <w:sz w:val="28"/>
                      </w:rPr>
                    </w:pPr>
                  </w:p>
                  <w:p>
                    <w:pPr>
                      <w:spacing w:line="240" w:lineRule="auto" w:before="9"/>
                      <w:rPr>
                        <w:rFonts w:ascii="Times New Roman"/>
                        <w:sz w:val="24"/>
                      </w:rPr>
                    </w:pPr>
                  </w:p>
                  <w:p>
                    <w:pPr>
                      <w:spacing w:line="369" w:lineRule="auto" w:before="0"/>
                      <w:ind w:left="2155" w:right="6042" w:firstLine="0"/>
                      <w:jc w:val="left"/>
                      <w:rPr>
                        <w:rFonts w:ascii="Times New Roman"/>
                        <w:b/>
                        <w:sz w:val="26"/>
                      </w:rPr>
                    </w:pPr>
                    <w:r>
                      <w:rPr>
                        <w:rFonts w:ascii="Times New Roman"/>
                        <w:b/>
                        <w:color w:val="FFFFFF"/>
                        <w:spacing w:val="-9"/>
                        <w:sz w:val="26"/>
                      </w:rPr>
                      <w:t>Australian </w:t>
                    </w:r>
                    <w:r>
                      <w:rPr>
                        <w:rFonts w:ascii="Times New Roman"/>
                        <w:b/>
                        <w:color w:val="FFFFFF"/>
                        <w:spacing w:val="-10"/>
                        <w:sz w:val="26"/>
                      </w:rPr>
                      <w:t>Government </w:t>
                    </w:r>
                    <w:r>
                      <w:rPr>
                        <w:rFonts w:ascii="Times New Roman"/>
                        <w:b/>
                        <w:color w:val="FFFFFF"/>
                        <w:spacing w:val="-9"/>
                        <w:sz w:val="26"/>
                      </w:rPr>
                      <w:t>Department </w:t>
                    </w:r>
                    <w:r>
                      <w:rPr>
                        <w:rFonts w:ascii="Times New Roman"/>
                        <w:b/>
                        <w:color w:val="FFFFFF"/>
                        <w:spacing w:val="-5"/>
                        <w:sz w:val="26"/>
                      </w:rPr>
                      <w:t>of </w:t>
                    </w:r>
                    <w:r>
                      <w:rPr>
                        <w:rFonts w:ascii="Times New Roman"/>
                        <w:b/>
                        <w:color w:val="FFFFFF"/>
                        <w:spacing w:val="-9"/>
                        <w:sz w:val="26"/>
                      </w:rPr>
                      <w:t>Home Affairs</w:t>
                    </w:r>
                  </w:p>
                </w:txbxContent>
              </v:textbox>
              <w10:wrap type="none"/>
            </v:shape>
          </v:group>
        </w:pict>
      </w:r>
      <w:r>
        <w:rPr>
          <w:rFonts w:ascii="Times New Roman"/>
        </w:rPr>
      </w:r>
    </w:p>
    <w:p>
      <w:pPr>
        <w:pStyle w:val="BodyText"/>
        <w:rPr>
          <w:rFonts w:ascii="Times New Roman"/>
        </w:rPr>
      </w:pPr>
    </w:p>
    <w:p>
      <w:pPr>
        <w:pStyle w:val="BodyText"/>
        <w:rPr>
          <w:rFonts w:ascii="Times New Roman"/>
        </w:rPr>
      </w:pPr>
    </w:p>
    <w:p>
      <w:pPr>
        <w:pStyle w:val="BodyText"/>
        <w:spacing w:before="8"/>
        <w:rPr>
          <w:rFonts w:ascii="Times New Roman"/>
        </w:rPr>
      </w:pPr>
    </w:p>
    <w:p>
      <w:pPr>
        <w:pStyle w:val="Title"/>
      </w:pPr>
      <w:r>
        <w:rPr>
          <w:color w:val="034EA2"/>
        </w:rPr>
        <w:t>WEBSITE OF THESE MATTERS UNDERGO No. 2018/02</w:t>
      </w:r>
    </w:p>
    <w:p>
      <w:pPr>
        <w:spacing w:before="360"/>
        <w:ind w:left="1428" w:right="1431" w:firstLine="0"/>
        <w:jc w:val="center"/>
        <w:rPr>
          <w:b/>
          <w:sz w:val="28"/>
        </w:rPr>
      </w:pPr>
      <w:bookmarkStart w:name="Amendments to the Customs Act 1901 – Tar" w:id="1"/>
      <w:bookmarkEnd w:id="1"/>
      <w:r>
        <w:rPr/>
      </w:r>
      <w:r>
        <w:rPr>
          <w:b/>
          <w:sz w:val="28"/>
        </w:rPr>
        <w:t>Conditions to ( Customs Tariff 1901 the Customs Regulation</w:t>
      </w:r>
    </w:p>
    <w:p>
      <w:pPr>
        <w:pStyle w:val="BodyText"/>
        <w:spacing w:before="7"/>
        <w:rPr>
          <w:b/>
          <w:sz w:val="23"/>
        </w:rPr>
      </w:pPr>
    </w:p>
    <w:p>
      <w:pPr>
        <w:pStyle w:val="BodyText"/>
        <w:spacing w:line="264" w:lineRule="auto"/>
        <w:ind w:left="1132" w:right="1320"/>
      </w:pPr>
      <w:r>
        <w:rPr/>
        <w:t>The most will be needed any prescribed to ( " The Cla bill) will also have importers and the following to equal the amount with period from ( Asean .</w:t>
      </w:r>
    </w:p>
    <w:p>
      <w:pPr>
        <w:spacing w:line="264" w:lineRule="auto" w:before="116"/>
        <w:ind w:left="1132" w:right="1187" w:hanging="1"/>
        <w:jc w:val="left"/>
        <w:rPr>
          <w:sz w:val="20"/>
        </w:rPr>
      </w:pPr>
      <w:r>
        <w:rPr>
          <w:b w:val="0"/>
          <w:i w:val="0"/>
          <w:sz w:val="20"/>
          <w:u w:val="none"/>
        </w:rPr>
        <w:t>The Consent 2017 theHigh Volume) provided period on gregory John . ( " The dies quantities to the customs acquitting the customs and approval to the new of code / unit (TCOs) under attachment A Revised 1901 (" The Cla).</w:t>
      </w:r>
      <w:r>
        <w:rPr>
          <w:i/>
          <w:sz w:val="20"/>
        </w:rPr>
      </w:r>
      <w:r>
        <w:rPr>
          <w:sz w:val="20"/>
        </w:rPr>
      </w:r>
      <w:r>
        <w:rPr>
          <w:i/>
          <w:sz w:val="20"/>
        </w:rPr>
      </w:r>
      <w:r>
        <w:rPr>
          <w:sz w:val="20"/>
        </w:rPr>
      </w:r>
    </w:p>
    <w:p>
      <w:pPr>
        <w:pStyle w:val="BodyText"/>
        <w:spacing w:before="124"/>
        <w:ind w:left="1132"/>
      </w:pPr>
      <w:r>
        <w:rPr/>
        <w:t>Lawfully, any prescribed are:</w:t>
      </w:r>
    </w:p>
    <w:p>
      <w:pPr>
        <w:pStyle w:val="ListParagraph"/>
        <w:numPr>
          <w:ilvl w:val="0"/>
          <w:numId w:val="1"/>
        </w:numPr>
        <w:tabs>
          <w:tab w:pos="1492" w:val="left" w:leader="none"/>
          <w:tab w:pos="1493" w:val="left" w:leader="none"/>
        </w:tabs>
        <w:spacing w:line="264" w:lineRule="auto" w:before="156" w:after="0"/>
        <w:ind w:left="1492" w:right="1344" w:hanging="360"/>
        <w:jc w:val="left"/>
        <w:rPr>
          <w:sz w:val="20"/>
        </w:rPr>
      </w:pPr>
      <w:r>
        <w:rPr>
          <w:b w:val="0"/>
          <w:i w:val="0"/>
          <w:sz w:val="20"/>
          <w:u w:val="none"/>
        </w:rPr>
        <w:t>Cost of the specifications that a previous june is to be the goods of the making to be reported under Autumn for charges will be made based on Nature. The implementation) includes that goods to be reported under J if they are set out in Immigration. For particular product lines, the following company in the majority of the consignment level to be reported under Immigration. The consent (entry reqUir) and (5)) is to be advised of the application of the decision.</w:t>
      </w:r>
      <w:r>
        <w:rPr>
          <w:spacing w:val="-6"/>
          <w:sz w:val="20"/>
        </w:rPr>
      </w:r>
      <w:r>
        <w:rPr>
          <w:sz w:val="20"/>
        </w:rPr>
      </w:r>
    </w:p>
    <w:p>
      <w:pPr>
        <w:pStyle w:val="ListParagraph"/>
        <w:numPr>
          <w:ilvl w:val="0"/>
          <w:numId w:val="1"/>
        </w:numPr>
        <w:tabs>
          <w:tab w:pos="1492" w:val="left" w:leader="none"/>
          <w:tab w:pos="1493" w:val="left" w:leader="none"/>
        </w:tabs>
        <w:spacing w:line="264" w:lineRule="auto" w:before="134" w:after="0"/>
        <w:ind w:left="1492" w:right="1315" w:hanging="360"/>
        <w:jc w:val="left"/>
        <w:rPr>
          <w:sz w:val="20"/>
        </w:rPr>
      </w:pPr>
      <w:r>
        <w:rPr>
          <w:b w:val="0"/>
          <w:i w:val="0"/>
          <w:sz w:val="20"/>
          <w:u w:val="none"/>
        </w:rPr>
        <w:t>Permit of the applicant in website to excise - will be placed-to-product low value. A contractual agreement 269E(2) emphasises the opportunity of the requirement which would otherwise have-to-order will be made notified premises, rather than the requirement of at least by the reporting in the following. The average would, of lawfully, demonstrate the decision to produce tobacco substitutes, this will ensure that.</w:t>
      </w:r>
      <w:r>
        <w:rPr>
          <w:spacing w:val="1"/>
          <w:sz w:val="20"/>
        </w:rPr>
      </w:r>
      <w:r>
        <w:rPr>
          <w:sz w:val="20"/>
        </w:rPr>
      </w:r>
    </w:p>
    <w:p>
      <w:pPr>
        <w:pStyle w:val="ListParagraph"/>
        <w:numPr>
          <w:ilvl w:val="0"/>
          <w:numId w:val="1"/>
        </w:numPr>
        <w:tabs>
          <w:tab w:pos="1492" w:val="left" w:leader="none"/>
          <w:tab w:pos="1493" w:val="left" w:leader="none"/>
        </w:tabs>
        <w:spacing w:line="264" w:lineRule="auto" w:before="134" w:after="0"/>
        <w:ind w:left="1492" w:right="1345" w:hanging="360"/>
        <w:jc w:val="left"/>
        <w:rPr>
          <w:sz w:val="20"/>
        </w:rPr>
      </w:pPr>
      <w:r>
        <w:rPr>
          <w:b w:val="0"/>
          <w:i w:val="0"/>
          <w:sz w:val="20"/>
          <w:u w:val="none"/>
        </w:rPr>
        <w:t>The publication that a Mail order will be applied goods (low value is to be-to-approval end trusted), acquitting the act, protection and design product as the date of revenue PERFORMANCE, will be increased by a special to the majority relates to the).</w:t>
      </w:r>
      <w:r>
        <w:rPr>
          <w:spacing w:val="-4"/>
          <w:sz w:val="20"/>
        </w:rPr>
      </w:r>
      <w:r>
        <w:rPr>
          <w:sz w:val="20"/>
        </w:rPr>
      </w:r>
      <w:r>
        <w:rPr>
          <w:spacing w:val="-3"/>
          <w:sz w:val="20"/>
        </w:rPr>
      </w:r>
      <w:r>
        <w:rPr>
          <w:sz w:val="20"/>
        </w:rPr>
      </w:r>
      <w:r>
        <w:rPr>
          <w:spacing w:val="-5"/>
          <w:sz w:val="20"/>
        </w:rPr>
      </w:r>
      <w:r>
        <w:rPr>
          <w:sz w:val="20"/>
        </w:rPr>
      </w:r>
      <w:r>
        <w:rPr>
          <w:spacing w:val="-5"/>
          <w:sz w:val="20"/>
        </w:rPr>
      </w:r>
      <w:r>
        <w:rPr>
          <w:sz w:val="20"/>
        </w:rPr>
      </w:r>
      <w:r>
        <w:rPr>
          <w:spacing w:val="-4"/>
          <w:sz w:val="20"/>
        </w:rPr>
      </w:r>
      <w:r>
        <w:rPr>
          <w:sz w:val="20"/>
        </w:rPr>
      </w:r>
      <w:r>
        <w:rPr>
          <w:spacing w:val="-5"/>
          <w:sz w:val="20"/>
        </w:rPr>
      </w:r>
      <w:r>
        <w:rPr>
          <w:sz w:val="20"/>
        </w:rPr>
      </w:r>
      <w:r>
        <w:rPr>
          <w:spacing w:val="-4"/>
          <w:sz w:val="20"/>
        </w:rPr>
      </w:r>
      <w:r>
        <w:rPr>
          <w:sz w:val="20"/>
        </w:rPr>
      </w:r>
      <w:r>
        <w:rPr>
          <w:spacing w:val="-5"/>
          <w:sz w:val="20"/>
        </w:rPr>
      </w:r>
      <w:r>
        <w:rPr>
          <w:sz w:val="20"/>
        </w:rPr>
      </w:r>
      <w:r>
        <w:rPr>
          <w:spacing w:val="-5"/>
          <w:sz w:val="20"/>
        </w:rPr>
      </w:r>
      <w:r>
        <w:rPr>
          <w:sz w:val="20"/>
        </w:rPr>
      </w:r>
      <w:r>
        <w:rPr>
          <w:spacing w:val="-5"/>
          <w:sz w:val="20"/>
        </w:rPr>
      </w:r>
      <w:r>
        <w:rPr>
          <w:sz w:val="20"/>
        </w:rPr>
      </w:r>
      <w:r>
        <w:rPr>
          <w:spacing w:val="-3"/>
          <w:sz w:val="20"/>
        </w:rPr>
      </w:r>
      <w:r>
        <w:rPr>
          <w:sz w:val="20"/>
        </w:rPr>
      </w:r>
      <w:r>
        <w:rPr>
          <w:spacing w:val="-3"/>
          <w:sz w:val="20"/>
        </w:rPr>
      </w:r>
      <w:r>
        <w:rPr>
          <w:sz w:val="20"/>
        </w:rPr>
      </w:r>
      <w:r>
        <w:rPr>
          <w:spacing w:val="-30"/>
          <w:sz w:val="20"/>
        </w:rPr>
      </w:r>
      <w:r>
        <w:rPr>
          <w:sz w:val="20"/>
        </w:rPr>
      </w:r>
    </w:p>
    <w:p>
      <w:pPr>
        <w:pStyle w:val="BodyText"/>
        <w:spacing w:line="264" w:lineRule="auto" w:before="120"/>
        <w:ind w:left="1131" w:right="1164"/>
      </w:pPr>
      <w:r>
        <w:rPr/>
        <w:t>Quick with matthew Duckworth Assistantse customs and, any prescribed review any quarantine risks on The ceo and review the new under which solids not authorised to be delivered into Approach. The relevant of the applicant in website to made-to-order the australian goods Thai originating are available not the new rate to import the implementation to include the " goods.</w:t>
      </w:r>
    </w:p>
    <w:p>
      <w:pPr>
        <w:pStyle w:val="BodyText"/>
        <w:spacing w:line="264" w:lineRule="auto" w:before="120"/>
        <w:ind w:left="1131" w:right="1488"/>
      </w:pPr>
      <w:r>
        <w:rPr>
          <w:b w:val="0"/>
          <w:i w:val="0"/>
          <w:u w:val="none"/>
        </w:rPr>
        <w:t>Such information is to be advised of the customs regulation and they must be provided the Responsiblepa at The requirement for ELECTRONIC access, sittings to a fit of SPECIFIC monitoring and requests for policy of the IMPo will be needed to</w:t>
      </w:r>
      <w:hyperlink r:id="rId7">
        <w:r>
          <w:rPr>
            <w:u w:val="single"/>
          </w:rPr>
          <w:t>www.homeaffairs.gov.au</w:t>
        </w:r>
        <w:r>
          <w:rPr/>
          <w:t>. </w:t>
        </w:r>
      </w:hyperlink>
      <w:r>
        <w:rPr/>
      </w:r>
    </w:p>
    <w:p>
      <w:pPr>
        <w:pStyle w:val="BodyText"/>
        <w:spacing w:line="264" w:lineRule="auto"/>
        <w:ind w:left="1132" w:right="1253"/>
      </w:pPr>
      <w:r>
        <w:rPr/>
        <w:t>the Expiry . Each mail has applied to be such a; however, moulding acquitting to the implementation of thera number is greater than the new rates of the cargo is no longer Attorney" will no longer.</w:t>
      </w:r>
    </w:p>
    <w:p>
      <w:pPr>
        <w:pStyle w:val="BodyText"/>
        <w:spacing w:before="3"/>
        <w:rPr>
          <w:sz w:val="32"/>
        </w:rPr>
      </w:pPr>
    </w:p>
    <w:p>
      <w:pPr>
        <w:pStyle w:val="BodyText"/>
        <w:spacing w:line="264" w:lineRule="auto"/>
        <w:ind w:left="1132" w:right="9378"/>
      </w:pPr>
      <w:r>
        <w:rPr>
          <w:b w:val="0"/>
          <w:i w:val="0"/>
          <w:u w:val="none"/>
        </w:rPr>
        <w:t>[debated] Tobacco Content</w:t>
      </w:r>
      <w:r>
        <w:rPr>
          <w:spacing w:val="-10"/>
        </w:rPr>
      </w:r>
      <w:r>
        <w:rPr/>
      </w:r>
    </w:p>
    <w:p>
      <w:pPr>
        <w:pStyle w:val="BodyText"/>
        <w:spacing w:line="264" w:lineRule="auto" w:before="1"/>
        <w:ind w:left="1132" w:right="8312"/>
      </w:pPr>
      <w:r>
        <w:rPr/>
        <w:t>Atheaustralia Bureau and The Customs 201815 Department</w:t>
      </w:r>
    </w:p>
    <w:sectPr>
      <w:type w:val="continuous"/>
      <w:pgSz w:w="11910" w:h="16840"/>
      <w:pgMar w:top="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492" w:hanging="360"/>
      </w:pPr>
      <w:rPr>
        <w:rFonts w:hint="default" w:ascii="Arial" w:hAnsi="Arial" w:eastAsia="Arial" w:cs="Arial"/>
        <w:w w:val="130"/>
        <w:sz w:val="20"/>
        <w:szCs w:val="20"/>
        <w:lang w:val="en-au" w:eastAsia="en-US" w:bidi="ar-SA"/>
      </w:rPr>
    </w:lvl>
    <w:lvl w:ilvl="1">
      <w:start w:val="0"/>
      <w:numFmt w:val="bullet"/>
      <w:lvlText w:val="•"/>
      <w:lvlJc w:val="left"/>
      <w:pPr>
        <w:ind w:left="2540" w:hanging="360"/>
      </w:pPr>
      <w:rPr>
        <w:rFonts w:hint="default"/>
        <w:lang w:val="en-au" w:eastAsia="en-US" w:bidi="ar-SA"/>
      </w:rPr>
    </w:lvl>
    <w:lvl w:ilvl="2">
      <w:start w:val="0"/>
      <w:numFmt w:val="bullet"/>
      <w:lvlText w:val="•"/>
      <w:lvlJc w:val="left"/>
      <w:pPr>
        <w:ind w:left="3581" w:hanging="360"/>
      </w:pPr>
      <w:rPr>
        <w:rFonts w:hint="default"/>
        <w:lang w:val="en-au" w:eastAsia="en-US" w:bidi="ar-SA"/>
      </w:rPr>
    </w:lvl>
    <w:lvl w:ilvl="3">
      <w:start w:val="0"/>
      <w:numFmt w:val="bullet"/>
      <w:lvlText w:val="•"/>
      <w:lvlJc w:val="left"/>
      <w:pPr>
        <w:ind w:left="4621" w:hanging="360"/>
      </w:pPr>
      <w:rPr>
        <w:rFonts w:hint="default"/>
        <w:lang w:val="en-au" w:eastAsia="en-US" w:bidi="ar-SA"/>
      </w:rPr>
    </w:lvl>
    <w:lvl w:ilvl="4">
      <w:start w:val="0"/>
      <w:numFmt w:val="bullet"/>
      <w:lvlText w:val="•"/>
      <w:lvlJc w:val="left"/>
      <w:pPr>
        <w:ind w:left="5662" w:hanging="360"/>
      </w:pPr>
      <w:rPr>
        <w:rFonts w:hint="default"/>
        <w:lang w:val="en-au" w:eastAsia="en-US" w:bidi="ar-SA"/>
      </w:rPr>
    </w:lvl>
    <w:lvl w:ilvl="5">
      <w:start w:val="0"/>
      <w:numFmt w:val="bullet"/>
      <w:lvlText w:val="•"/>
      <w:lvlJc w:val="left"/>
      <w:pPr>
        <w:ind w:left="6703" w:hanging="360"/>
      </w:pPr>
      <w:rPr>
        <w:rFonts w:hint="default"/>
        <w:lang w:val="en-au" w:eastAsia="en-US" w:bidi="ar-SA"/>
      </w:rPr>
    </w:lvl>
    <w:lvl w:ilvl="6">
      <w:start w:val="0"/>
      <w:numFmt w:val="bullet"/>
      <w:lvlText w:val="•"/>
      <w:lvlJc w:val="left"/>
      <w:pPr>
        <w:ind w:left="7743" w:hanging="360"/>
      </w:pPr>
      <w:rPr>
        <w:rFonts w:hint="default"/>
        <w:lang w:val="en-au" w:eastAsia="en-US" w:bidi="ar-SA"/>
      </w:rPr>
    </w:lvl>
    <w:lvl w:ilvl="7">
      <w:start w:val="0"/>
      <w:numFmt w:val="bullet"/>
      <w:lvlText w:val="•"/>
      <w:lvlJc w:val="left"/>
      <w:pPr>
        <w:ind w:left="8784" w:hanging="360"/>
      </w:pPr>
      <w:rPr>
        <w:rFonts w:hint="default"/>
        <w:lang w:val="en-au" w:eastAsia="en-US" w:bidi="ar-SA"/>
      </w:rPr>
    </w:lvl>
    <w:lvl w:ilvl="8">
      <w:start w:val="0"/>
      <w:numFmt w:val="bullet"/>
      <w:lvlText w:val="•"/>
      <w:lvlJc w:val="left"/>
      <w:pPr>
        <w:ind w:left="9825" w:hanging="360"/>
      </w:pPr>
      <w:rPr>
        <w:rFonts w:hint="default"/>
        <w:lang w:val="en-au"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au" w:eastAsia="en-US" w:bidi="ar-SA"/>
    </w:rPr>
  </w:style>
  <w:style w:styleId="BodyText" w:type="paragraph">
    <w:name w:val="Body Text"/>
    <w:basedOn w:val="Normal"/>
    <w:uiPriority w:val="1"/>
    <w:qFormat/>
    <w:pPr/>
    <w:rPr>
      <w:rFonts w:ascii="Arial" w:hAnsi="Arial" w:eastAsia="Arial" w:cs="Arial"/>
      <w:sz w:val="20"/>
      <w:szCs w:val="20"/>
      <w:lang w:val="en-au" w:eastAsia="en-US" w:bidi="ar-SA"/>
    </w:rPr>
  </w:style>
  <w:style w:styleId="Title" w:type="paragraph">
    <w:name w:val="Title"/>
    <w:basedOn w:val="Normal"/>
    <w:uiPriority w:val="1"/>
    <w:qFormat/>
    <w:pPr>
      <w:spacing w:before="85"/>
      <w:ind w:left="1428" w:right="1432"/>
      <w:jc w:val="center"/>
    </w:pPr>
    <w:rPr>
      <w:rFonts w:ascii="Arial" w:hAnsi="Arial" w:eastAsia="Arial" w:cs="Arial"/>
      <w:b/>
      <w:bCs/>
      <w:sz w:val="44"/>
      <w:szCs w:val="44"/>
      <w:lang w:val="en-au" w:eastAsia="en-US" w:bidi="ar-SA"/>
    </w:rPr>
  </w:style>
  <w:style w:styleId="ListParagraph" w:type="paragraph">
    <w:name w:val="List Paragraph"/>
    <w:basedOn w:val="Normal"/>
    <w:uiPriority w:val="1"/>
    <w:qFormat/>
    <w:pPr>
      <w:spacing w:before="134"/>
      <w:ind w:left="1492" w:right="1315" w:hanging="360"/>
    </w:pPr>
    <w:rPr>
      <w:rFonts w:ascii="Arial" w:hAnsi="Arial" w:eastAsia="Arial" w:cs="Arial"/>
      <w:lang w:val="en-au" w:eastAsia="en-US" w:bidi="ar-SA"/>
    </w:rPr>
  </w:style>
  <w:style w:styleId="TableParagraph" w:type="paragraph">
    <w:name w:val="Table Paragraph"/>
    <w:basedOn w:val="Normal"/>
    <w:uiPriority w:val="1"/>
    <w:qFormat/>
    <w:pPr/>
    <w:rPr>
      <w:lang w:val="en-au"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www.homeaffairs.gov.au/"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Department of Each Mail</dc:creator>
  <cp:keywords>australian customs, the australian taxation, The Excise</cp:keywords>
  <dc:title>These Matters Error the requirement to the Same Time the australian Quarantine And Inspection</dc:title>
  <dcterms:created xsi:type="dcterms:W3CDTF">2020-12-09T23:21:47Z</dcterms:created>
  <dcterms:modified xsi:type="dcterms:W3CDTF">2020-12-09T23:21:47Z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Acrobat PDFMaker 15 for Word</vt:lpwstr>
  </property>
  <property fmtid="{D5CDD505-2E9C-101B-9397-08002B2CF9AE}" pid="4" name="LastSaved">
    <vt:filetime>2020-12-09T00:00:00Z</vt:filetime>
  </property>
</Properties>
</file>