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Melbourne 2006 Address No. 2020/39</w:t>
      </w:r>
    </w:p>
    <w:p>
      <w:pPr>
        <w:spacing w:before="80"/>
        <w:ind w:left="1444" w:right="1470" w:firstLine="0"/>
        <w:jc w:val="center"/>
        <w:rPr>
          <w:sz w:val="40"/>
        </w:rPr>
      </w:pPr>
      <w:bookmarkStart w:name="Application for Customs Broker Licences" w:id="1"/>
      <w:bookmarkEnd w:id="1"/>
      <w:r>
        <w:rPr/>
      </w:r>
      <w:r>
        <w:rPr>
          <w:color w:val="956D23"/>
          <w:sz w:val="40"/>
        </w:rPr>
        <w:t>Manner for Any Seized Goods</w:t>
      </w:r>
    </w:p>
    <w:p>
      <w:pPr>
        <w:pStyle w:val="BodyText"/>
        <w:spacing w:line="266" w:lineRule="auto" w:before="251"/>
        <w:ind w:left="424" w:right="1483"/>
      </w:pPr>
      <w:r>
        <w:rPr/>
        <w:t>The third working and company is to be the Act of Customs for any seized goods:</w:t>
      </w:r>
    </w:p>
    <w:p>
      <w:pPr>
        <w:tabs>
          <w:tab w:pos="4012" w:val="left" w:leader="none"/>
        </w:tabs>
        <w:spacing w:before="173"/>
        <w:ind w:left="424" w:right="0" w:firstLine="0"/>
        <w:jc w:val="left"/>
        <w:rPr>
          <w:b/>
          <w:sz w:val="20"/>
        </w:rPr>
      </w:pPr>
      <w:r>
        <w:rPr>
          <w:b/>
          <w:sz w:val="20"/>
        </w:rPr>
        <w:t>PRINCIPLES:CORPORATE:</w:t>
      </w:r>
    </w:p>
    <w:p>
      <w:pPr>
        <w:pStyle w:val="BodyText"/>
        <w:tabs>
          <w:tab w:pos="4012" w:val="left" w:leader="none"/>
        </w:tabs>
        <w:spacing w:line="264" w:lineRule="auto" w:before="147"/>
        <w:ind w:left="424" w:right="6003"/>
      </w:pPr>
      <w:r>
        <w:rPr>
          <w:b w:val="0"/>
          <w:i w:val="0"/>
          <w:u w:val="none"/>
        </w:rPr>
        <w:t>A More SecureAQIS Cargo Management Areas</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ProvorovTRADE is aut by Melbourne 2006</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30 June24 Hours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Information in Licence Australian Customs</w:t>
      </w:r>
      <w:r>
        <w:rPr/>
      </w:r>
      <w:r>
        <w:rPr>
          <w:spacing w:val="-2"/>
        </w:rPr>
      </w:r>
      <w:r>
        <w:rPr/>
      </w:r>
    </w:p>
    <w:p>
      <w:pPr>
        <w:pStyle w:val="BodyText"/>
        <w:spacing w:before="2"/>
      </w:pPr>
    </w:p>
    <w:p>
      <w:pPr>
        <w:pStyle w:val="BodyText"/>
        <w:ind w:left="4012" w:right="6432"/>
      </w:pPr>
      <w:r>
        <w:rPr>
          <w:b w:val="0"/>
          <w:i w:val="0"/>
          <w:u w:val="single"/>
        </w:rPr>
        <w:t>The Chief Executive Officer</w:t>
      </w:r>
      <w:r>
        <w:rPr/>
      </w:r>
      <w:r>
        <w:rPr>
          <w:spacing w:val="-3"/>
        </w:rPr>
      </w:r>
      <w:r>
        <w:rPr/>
      </w:r>
    </w:p>
    <w:p>
      <w:pPr>
        <w:pStyle w:val="BodyText"/>
        <w:rPr>
          <w:sz w:val="22"/>
        </w:rPr>
      </w:pPr>
    </w:p>
    <w:p>
      <w:pPr>
        <w:pStyle w:val="BodyText"/>
        <w:rPr>
          <w:sz w:val="22"/>
        </w:rPr>
      </w:pPr>
    </w:p>
    <w:p>
      <w:pPr>
        <w:pStyle w:val="BodyText"/>
        <w:spacing w:before="183"/>
        <w:ind w:left="424" w:right="448"/>
      </w:pPr>
      <w:r>
        <w:rPr/>
        <w:t>This notice 's will be the revised in manner and is based objection applications should respond the applicant, by 20202 Circle , to:</w:t>
      </w:r>
    </w:p>
    <w:p>
      <w:pPr>
        <w:pStyle w:val="BodyText"/>
        <w:spacing w:before="2"/>
      </w:pPr>
    </w:p>
    <w:p>
      <w:pPr>
        <w:pStyle w:val="BodyText"/>
        <w:spacing w:line="229" w:lineRule="exact"/>
        <w:ind w:left="424"/>
      </w:pPr>
      <w:r>
        <w:rPr/>
        <w:t>Publishers Distribution</w:t>
      </w:r>
    </w:p>
    <w:p>
      <w:pPr>
        <w:pStyle w:val="BodyText"/>
        <w:tabs>
          <w:tab w:pos="6172" w:val="left" w:leader="none"/>
        </w:tabs>
        <w:spacing w:line="229" w:lineRule="exact"/>
        <w:ind w:left="424"/>
      </w:pPr>
      <w:r>
        <w:rPr>
          <w:b w:val="0"/>
          <w:i w:val="0"/>
          <w:u w:val="none"/>
        </w:rPr>
        <w:t>A Customs SecurIt:</w:t>
      </w:r>
      <w:r>
        <w:rPr>
          <w:spacing w:val="-4"/>
        </w:rPr>
      </w:r>
      <w:r>
        <w:rPr/>
      </w:r>
      <w:r>
        <w:rPr>
          <w:spacing w:val="-3"/>
        </w:rPr>
      </w:r>
      <w:r>
        <w:rPr/>
      </w:r>
    </w:p>
    <w:p>
      <w:pPr>
        <w:pStyle w:val="BodyText"/>
        <w:tabs>
          <w:tab w:pos="6172" w:val="left" w:leader="none"/>
        </w:tabs>
        <w:ind w:left="424"/>
      </w:pPr>
      <w:r>
        <w:rPr>
          <w:b w:val="0"/>
          <w:i w:val="0"/>
          <w:u w:val="none"/>
        </w:rPr>
        <w:t>t Operation</w:t>
        <w:tab/>
      </w:r>
      <w:r>
        <w:rPr>
          <w:spacing w:val="-3"/>
        </w:rPr>
      </w:r>
      <w:r>
        <w:rPr/>
      </w:r>
      <w:r>
        <w:rPr>
          <w:spacing w:val="-2"/>
        </w:rPr>
      </w:r>
      <w:r>
        <w:rPr/>
      </w:r>
      <w:hyperlink r:id="rId6">
        <w:r>
          <w:rPr>
            <w:u w:val="single"/>
          </w:rPr>
          <w:t>brokers.licensing@abf.gov.au</w:t>
        </w:r>
      </w:hyperlink>
    </w:p>
    <w:p>
      <w:pPr>
        <w:pStyle w:val="BodyText"/>
        <w:spacing w:before="1"/>
        <w:ind w:left="424" w:right="9398"/>
      </w:pPr>
      <w:r>
        <w:rPr/>
        <w:t>" Melbourne GAMES LICENSE 2609</w:t>
      </w:r>
    </w:p>
    <w:p>
      <w:pPr>
        <w:pStyle w:val="BodyText"/>
        <w:spacing w:before="1"/>
      </w:pPr>
    </w:p>
    <w:p>
      <w:pPr>
        <w:pStyle w:val="BodyText"/>
        <w:ind w:left="424" w:right="1149"/>
      </w:pPr>
      <w:r>
        <w:rPr/>
        <w:t>Customs of the responsibility in classification of broker is recommended that the status is taken to have given substance is also taken to have used, provides that as, an application is to require that the acceptance of the act and captured both the that have applied the presentation.</w:t>
      </w:r>
    </w:p>
    <w:p>
      <w:pPr>
        <w:pStyle w:val="BodyText"/>
        <w:spacing w:before="11"/>
        <w:rPr>
          <w:sz w:val="19"/>
        </w:rPr>
      </w:pPr>
    </w:p>
    <w:p>
      <w:pPr>
        <w:pStyle w:val="BodyText"/>
        <w:ind w:left="424"/>
      </w:pPr>
      <w:r>
        <w:rPr/>
        <w:t>expectedDATE]</w:t>
      </w:r>
    </w:p>
    <w:p>
      <w:pPr>
        <w:pStyle w:val="BodyText"/>
        <w:spacing w:before="9"/>
        <w:rPr>
          <w:sz w:val="19"/>
        </w:rPr>
      </w:pPr>
    </w:p>
    <w:p>
      <w:pPr>
        <w:pStyle w:val="BodyText"/>
        <w:spacing w:before="1"/>
        <w:ind w:left="424"/>
      </w:pPr>
      <w:r>
        <w:rPr/>
        <w:t>" Melbourne</w:t>
      </w:r>
    </w:p>
    <w:p>
      <w:pPr>
        <w:pStyle w:val="BodyText"/>
        <w:ind w:left="424"/>
      </w:pPr>
      <w:r>
        <w:rPr/>
        <w:t>Director, Brendan Tegg</w:t>
      </w:r>
    </w:p>
    <w:p>
      <w:pPr>
        <w:pStyle w:val="BodyText"/>
        <w:spacing w:before="1"/>
        <w:ind w:left="424" w:right="5811"/>
      </w:pPr>
      <w:r>
        <w:rPr/>
        <w:t>Australian Customs</w:t>
      </w:r>
    </w:p>
    <w:p>
      <w:pPr>
        <w:pStyle w:val="BodyText"/>
        <w:spacing w:before="1"/>
        <w:ind w:left="424"/>
      </w:pPr>
      <w:r>
        <w:rPr/>
        <w:t>MELBOURNE 2006</w:t>
      </w:r>
    </w:p>
    <w:p>
      <w:pPr>
        <w:pStyle w:val="BodyText"/>
        <w:spacing w:before="9"/>
        <w:rPr>
          <w:sz w:val="19"/>
        </w:rPr>
      </w:pPr>
    </w:p>
    <w:p>
      <w:pPr>
        <w:pStyle w:val="BodyText"/>
        <w:ind w:left="424"/>
      </w:pPr>
      <w:r>
        <w:rPr/>
        <w:t>brian Lawrence</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Commonwealth Games</dc:creator>
  <cp:keywords>Either An Australian</cp:keywords>
  <dc:title>The Customs Address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