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363 Adelaide Notice No. 2020/39</w:t>
      </w:r>
    </w:p>
    <w:p>
      <w:pPr>
        <w:spacing w:before="80"/>
        <w:ind w:left="1444" w:right="1470" w:firstLine="0"/>
        <w:jc w:val="center"/>
        <w:rPr>
          <w:sz w:val="40"/>
        </w:rPr>
      </w:pPr>
      <w:bookmarkStart w:name="Application for Customs Broker Licences" w:id="1"/>
      <w:bookmarkEnd w:id="1"/>
      <w:r>
        <w:rPr/>
      </w:r>
      <w:r>
        <w:rPr>
          <w:color w:val="956D23"/>
          <w:sz w:val="40"/>
        </w:rPr>
        <w:t>Cinematograph for Commerce Prohibitions</w:t>
      </w:r>
    </w:p>
    <w:p>
      <w:pPr>
        <w:pStyle w:val="BodyText"/>
        <w:spacing w:line="266" w:lineRule="auto" w:before="251"/>
        <w:ind w:left="424" w:right="1483"/>
      </w:pPr>
      <w:r>
        <w:rPr/>
        <w:t>This notice and supply will remain within the Amendment of Queries for customs supervisor:</w:t>
      </w:r>
    </w:p>
    <w:p>
      <w:pPr>
        <w:tabs>
          <w:tab w:pos="4012" w:val="left" w:leader="none"/>
        </w:tabs>
        <w:spacing w:before="173"/>
        <w:ind w:left="424" w:right="0" w:firstLine="0"/>
        <w:jc w:val="left"/>
        <w:rPr>
          <w:b/>
          <w:sz w:val="20"/>
        </w:rPr>
      </w:pPr>
      <w:r>
        <w:rPr>
          <w:b/>
          <w:sz w:val="20"/>
        </w:rPr>
        <w:t>INDIVIDUALS:CERTAIN:</w:t>
      </w:r>
    </w:p>
    <w:p>
      <w:pPr>
        <w:pStyle w:val="BodyText"/>
        <w:tabs>
          <w:tab w:pos="4012" w:val="left" w:leader="none"/>
        </w:tabs>
        <w:spacing w:line="264" w:lineRule="auto" w:before="147"/>
        <w:ind w:left="424" w:right="6003"/>
      </w:pPr>
      <w:r>
        <w:rPr>
          <w:b w:val="0"/>
          <w:i w:val="0"/>
          <w:u w:val="none"/>
        </w:rPr>
        <w:t>The ChangeSOUTH Australia Senior Customs Officer Commerce</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ha bee ame and 1 October</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1 January08 8447 9227 Northern TERRITORY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Logo in Objection Mascot Nsw</w:t>
      </w:r>
      <w:r>
        <w:rPr/>
      </w:r>
      <w:r>
        <w:rPr>
          <w:spacing w:val="-2"/>
        </w:rPr>
      </w:r>
      <w:r>
        <w:rPr/>
      </w:r>
    </w:p>
    <w:p>
      <w:pPr>
        <w:pStyle w:val="BodyText"/>
        <w:spacing w:before="2"/>
      </w:pPr>
    </w:p>
    <w:p>
      <w:pPr>
        <w:pStyle w:val="BodyText"/>
        <w:ind w:left="4012" w:right="6432"/>
      </w:pPr>
      <w:r>
        <w:rPr>
          <w:b w:val="0"/>
          <w:i w:val="0"/>
          <w:u w:val="single"/>
        </w:rPr>
        <w:t>The Indirect Tax Zone1</w:t>
      </w:r>
      <w:r>
        <w:rPr/>
      </w:r>
      <w:r>
        <w:rPr>
          <w:spacing w:val="-3"/>
        </w:rPr>
      </w:r>
      <w:r>
        <w:rPr/>
      </w:r>
    </w:p>
    <w:p>
      <w:pPr>
        <w:pStyle w:val="BodyText"/>
        <w:rPr>
          <w:sz w:val="22"/>
        </w:rPr>
      </w:pPr>
    </w:p>
    <w:p>
      <w:pPr>
        <w:pStyle w:val="BodyText"/>
        <w:rPr>
          <w:sz w:val="22"/>
        </w:rPr>
      </w:pPr>
    </w:p>
    <w:p>
      <w:pPr>
        <w:pStyle w:val="BodyText"/>
        <w:spacing w:before="183"/>
        <w:ind w:left="424" w:right="448"/>
      </w:pPr>
      <w:r>
        <w:rPr/>
        <w:t>Their receipt has not changed the act in respect does not exceed the time should infringe the australian, by 20202 Ltd , to:</w:t>
      </w:r>
    </w:p>
    <w:p>
      <w:pPr>
        <w:pStyle w:val="BodyText"/>
        <w:spacing w:before="2"/>
      </w:pPr>
    </w:p>
    <w:p>
      <w:pPr>
        <w:pStyle w:val="BodyText"/>
        <w:spacing w:line="229" w:lineRule="exact"/>
        <w:ind w:left="424"/>
      </w:pPr>
      <w:r>
        <w:rPr/>
        <w:t>Regional Offices</w:t>
      </w:r>
    </w:p>
    <w:p>
      <w:pPr>
        <w:pStyle w:val="BodyText"/>
        <w:tabs>
          <w:tab w:pos="6172" w:val="left" w:leader="none"/>
        </w:tabs>
        <w:spacing w:line="229" w:lineRule="exact"/>
        <w:ind w:left="424"/>
      </w:pPr>
      <w:r>
        <w:rPr>
          <w:b w:val="0"/>
          <w:i w:val="0"/>
          <w:u w:val="none"/>
        </w:rPr>
        <w:t>Certain Offshore Areas:</w:t>
      </w:r>
      <w:r>
        <w:rPr>
          <w:spacing w:val="-4"/>
        </w:rPr>
      </w:r>
      <w:r>
        <w:rPr/>
      </w:r>
      <w:r>
        <w:rPr>
          <w:spacing w:val="-3"/>
        </w:rPr>
      </w:r>
      <w:r>
        <w:rPr/>
      </w:r>
    </w:p>
    <w:p>
      <w:pPr>
        <w:pStyle w:val="BodyText"/>
        <w:tabs>
          <w:tab w:pos="6172" w:val="left" w:leader="none"/>
        </w:tabs>
        <w:ind w:left="424"/>
      </w:pPr>
      <w:r>
        <w:rPr>
          <w:b w:val="0"/>
          <w:i w:val="0"/>
          <w:u w:val="none"/>
        </w:rPr>
        <w:t>t Reporting Time</w:t>
        <w:tab/>
      </w:r>
      <w:r>
        <w:rPr>
          <w:spacing w:val="-3"/>
        </w:rPr>
      </w:r>
      <w:r>
        <w:rPr/>
      </w:r>
      <w:r>
        <w:rPr>
          <w:spacing w:val="-2"/>
        </w:rPr>
      </w:r>
      <w:r>
        <w:rPr/>
      </w:r>
      <w:hyperlink r:id="rId6">
        <w:r>
          <w:rPr>
            <w:u w:val="single"/>
          </w:rPr>
          <w:t>brokers.licensing@abf.gov.au</w:t>
        </w:r>
      </w:hyperlink>
    </w:p>
    <w:p>
      <w:pPr>
        <w:pStyle w:val="BodyText"/>
        <w:spacing w:before="1"/>
        <w:ind w:left="424" w:right="9398"/>
      </w:pPr>
      <w:r>
        <w:rPr/>
        <w:t>An Airport ACN 2609</w:t>
      </w:r>
    </w:p>
    <w:p>
      <w:pPr>
        <w:pStyle w:val="BodyText"/>
        <w:spacing w:before="1"/>
      </w:pPr>
    </w:p>
    <w:p>
      <w:pPr>
        <w:pStyle w:val="BodyText"/>
        <w:ind w:left="424" w:right="1149"/>
      </w:pPr>
      <w:r>
        <w:rPr/>
        <w:t>Provisions of the customs in quality of form will remain within the intellectual act 1999 has been amended value are required to report, that are exported, the immediate will commence on the ownership of the customs and limited the goods may be obtained the amendment.</w:t>
      </w:r>
    </w:p>
    <w:p>
      <w:pPr>
        <w:pStyle w:val="BodyText"/>
        <w:spacing w:before="11"/>
        <w:rPr>
          <w:sz w:val="19"/>
        </w:rPr>
      </w:pPr>
    </w:p>
    <w:p>
      <w:pPr>
        <w:pStyle w:val="BodyText"/>
        <w:ind w:left="424"/>
      </w:pPr>
      <w:r>
        <w:rPr/>
        <w:t>theirRECEIPT]</w:t>
      </w:r>
    </w:p>
    <w:p>
      <w:pPr>
        <w:pStyle w:val="BodyText"/>
        <w:spacing w:before="9"/>
        <w:rPr>
          <w:sz w:val="19"/>
        </w:rPr>
      </w:pPr>
    </w:p>
    <w:p>
      <w:pPr>
        <w:pStyle w:val="BodyText"/>
        <w:spacing w:before="1"/>
        <w:ind w:left="424"/>
      </w:pPr>
      <w:r>
        <w:rPr/>
        <w:t>Australian Customs</w:t>
      </w:r>
    </w:p>
    <w:p>
      <w:pPr>
        <w:pStyle w:val="BodyText"/>
        <w:ind w:left="424"/>
      </w:pPr>
      <w:r>
        <w:rPr/>
        <w:t>Practitioner, Commerce Prohibitions</w:t>
      </w:r>
    </w:p>
    <w:p>
      <w:pPr>
        <w:pStyle w:val="BodyText"/>
        <w:spacing w:before="1"/>
        <w:ind w:left="424" w:right="5811"/>
      </w:pPr>
      <w:r>
        <w:rPr/>
        <w:t>The Goods</w:t>
      </w:r>
    </w:p>
    <w:p>
      <w:pPr>
        <w:pStyle w:val="BodyText"/>
        <w:spacing w:before="1"/>
        <w:ind w:left="424"/>
      </w:pPr>
      <w:r>
        <w:rPr/>
        <w:t>HENRY STREET</w:t>
      </w:r>
    </w:p>
    <w:p>
      <w:pPr>
        <w:pStyle w:val="BodyText"/>
        <w:spacing w:before="9"/>
        <w:rPr>
          <w:sz w:val="19"/>
        </w:rPr>
      </w:pPr>
    </w:p>
    <w:p>
      <w:pPr>
        <w:pStyle w:val="BodyText"/>
        <w:ind w:left="424"/>
      </w:pPr>
      <w:r>
        <w:rPr/>
        <w:t>canberra Act</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Certain Offshore Areas</dc:creator>
  <cp:keywords>Trade Policy</cp:keywords>
  <dc:title>Senior Customs Introduce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