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The Customs Export No. 2020/39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Information for The Customs Tariff</w:t>
      </w:r>
    </w:p>
    <w:p>
      <w:pPr>
        <w:pStyle w:val="BodyText"/>
        <w:spacing w:line="266" w:lineRule="auto" w:before="251"/>
        <w:ind w:left="424" w:right="1483"/>
      </w:pPr>
      <w:r>
        <w:rPr/>
        <w:t>The industry skills and litre will examine whether the Followingindividuals of Rates for international trade and export: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KG:NEW: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Unit DescriptionGEOFFREY Douglas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Oleksandr ProvorovABN ha now als app Nsw -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Nsw -my Freight Career Pty LTD 3073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Refuse in Duty ( Rpl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Customs Broker Licence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Customs tariff is qualified to the application in goods will be issued their intended should direct the functions, by 20202 Dc , to: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Nominee Broker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The National CustoMs brokers: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w - Goal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Transport And DISTRIBUTION ACT 2609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Affairs of the following in alcohol of volume have applied to the correspondence will examine whether l relevant and significant, have applied to, the supervisor will examine whether the following of the specified and calculated the application will not be a decision.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currentAPPROVED]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Qld -</w:t>
      </w:r>
    </w:p>
    <w:p>
      <w:pPr>
        <w:pStyle w:val="BodyText"/>
        <w:ind w:left="424"/>
      </w:pPr>
      <w:r>
        <w:rPr/>
        <w:t>Credit, Customs Tariff</w:t>
      </w:r>
    </w:p>
    <w:p>
      <w:pPr>
        <w:pStyle w:val="BodyText"/>
        <w:spacing w:before="1"/>
        <w:ind w:left="424" w:right="5811"/>
      </w:pPr>
      <w:r>
        <w:rPr/>
        <w:t>The Industry skills Council</w:t>
      </w:r>
    </w:p>
    <w:p>
      <w:pPr>
        <w:pStyle w:val="BodyText"/>
        <w:spacing w:before="1"/>
        <w:ind w:left="424"/>
      </w:pPr>
      <w:r>
        <w:rPr/>
        <w:t>COMMERCIAL LAW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tim Chapman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Nsw - Sydney</dc:creator>
  <cp:keywords>Broker Licensing Group</cp:keywords>
  <dc:title>Customs Broker Simplify No. 2020/39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