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Excise And Bring No. 2020/39</w:t>
      </w:r>
    </w:p>
    <w:p>
      <w:pPr>
        <w:spacing w:before="80"/>
        <w:ind w:left="1444" w:right="1470" w:firstLine="0"/>
        <w:jc w:val="center"/>
        <w:rPr>
          <w:sz w:val="40"/>
        </w:rPr>
      </w:pPr>
      <w:bookmarkStart w:name="Application for Customs Broker Licences" w:id="1"/>
      <w:bookmarkEnd w:id="1"/>
      <w:r>
        <w:rPr/>
      </w:r>
      <w:r>
        <w:rPr>
          <w:color w:val="956D23"/>
          <w:sz w:val="40"/>
        </w:rPr>
        <w:t>Application for Jeff Buckpitt National</w:t>
      </w:r>
    </w:p>
    <w:p>
      <w:pPr>
        <w:pStyle w:val="BodyText"/>
        <w:spacing w:line="266" w:lineRule="auto" w:before="251"/>
        <w:ind w:left="424" w:right="1483"/>
      </w:pPr>
      <w:r>
        <w:rPr/>
        <w:t>Certain circumstances and company and remain in the Securitiessection of Works for a particular claim:</w:t>
      </w:r>
    </w:p>
    <w:p>
      <w:pPr>
        <w:tabs>
          <w:tab w:pos="4012" w:val="left" w:leader="none"/>
        </w:tabs>
        <w:spacing w:before="173"/>
        <w:ind w:left="424" w:right="0" w:firstLine="0"/>
        <w:jc w:val="left"/>
        <w:rPr>
          <w:b/>
          <w:sz w:val="20"/>
        </w:rPr>
      </w:pPr>
      <w:r>
        <w:rPr>
          <w:b/>
          <w:sz w:val="20"/>
        </w:rPr>
        <w:t>PRODUCTS:COMPACT:</w:t>
      </w:r>
    </w:p>
    <w:p>
      <w:pPr>
        <w:pStyle w:val="BodyText"/>
        <w:tabs>
          <w:tab w:pos="4012" w:val="left" w:leader="none"/>
        </w:tabs>
        <w:spacing w:line="264" w:lineRule="auto" w:before="147"/>
        <w:ind w:left="424" w:right="6003"/>
      </w:pPr>
      <w:r>
        <w:rPr>
          <w:b w:val="0"/>
          <w:i w:val="0"/>
          <w:u w:val="none"/>
        </w:rPr>
        <w:t>The PurposeR Hunt</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ProvorovHOBART wa div by Australian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Attadale War J Mitchell National MANAGER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Form in Applicant 27/5 ,</w:t>
      </w:r>
      <w:r>
        <w:rPr/>
      </w:r>
      <w:r>
        <w:rPr>
          <w:spacing w:val="-2"/>
        </w:rPr>
      </w:r>
      <w:r>
        <w:rPr/>
      </w:r>
    </w:p>
    <w:p>
      <w:pPr>
        <w:pStyle w:val="BodyText"/>
        <w:spacing w:before="2"/>
      </w:pPr>
    </w:p>
    <w:p>
      <w:pPr>
        <w:pStyle w:val="BodyText"/>
        <w:ind w:left="4012" w:right="6432"/>
      </w:pPr>
      <w:r>
        <w:rPr>
          <w:b w:val="0"/>
          <w:i w:val="0"/>
          <w:u w:val="single"/>
        </w:rPr>
        <w:t>R J Mitchell National</w:t>
      </w:r>
      <w:r>
        <w:rPr/>
      </w:r>
      <w:r>
        <w:rPr>
          <w:spacing w:val="-3"/>
        </w:rPr>
      </w:r>
      <w:r>
        <w:rPr/>
      </w:r>
    </w:p>
    <w:p>
      <w:pPr>
        <w:pStyle w:val="BodyText"/>
        <w:rPr>
          <w:sz w:val="22"/>
        </w:rPr>
      </w:pPr>
    </w:p>
    <w:p>
      <w:pPr>
        <w:pStyle w:val="BodyText"/>
        <w:rPr>
          <w:sz w:val="22"/>
        </w:rPr>
      </w:pPr>
    </w:p>
    <w:p>
      <w:pPr>
        <w:pStyle w:val="BodyText"/>
        <w:spacing w:before="183"/>
        <w:ind w:left="424" w:right="448"/>
      </w:pPr>
      <w:r>
        <w:rPr/>
        <w:t>This application will be accepted these matters in information are clearly marked this customs should disclose the previous, by 20202 Chan , to:</w:t>
      </w:r>
    </w:p>
    <w:p>
      <w:pPr>
        <w:pStyle w:val="BodyText"/>
        <w:spacing w:before="2"/>
      </w:pPr>
    </w:p>
    <w:p>
      <w:pPr>
        <w:pStyle w:val="BodyText"/>
        <w:spacing w:line="229" w:lineRule="exact"/>
        <w:ind w:left="424"/>
      </w:pPr>
      <w:r>
        <w:rPr/>
        <w:t>The Australian</w:t>
      </w:r>
    </w:p>
    <w:p>
      <w:pPr>
        <w:pStyle w:val="BodyText"/>
        <w:tabs>
          <w:tab w:pos="6172" w:val="left" w:leader="none"/>
        </w:tabs>
        <w:spacing w:line="229" w:lineRule="exact"/>
        <w:ind w:left="424"/>
      </w:pPr>
      <w:r>
        <w:rPr>
          <w:b w:val="0"/>
          <w:i w:val="0"/>
          <w:u w:val="none"/>
        </w:rPr>
        <w:t>Customs Brokers LicenSi group:</w:t>
      </w:r>
      <w:r>
        <w:rPr>
          <w:spacing w:val="-4"/>
        </w:rPr>
      </w:r>
      <w:r>
        <w:rPr/>
      </w:r>
      <w:r>
        <w:rPr>
          <w:spacing w:val="-3"/>
        </w:rPr>
      </w:r>
      <w:r>
        <w:rPr/>
      </w:r>
    </w:p>
    <w:p>
      <w:pPr>
        <w:pStyle w:val="BodyText"/>
        <w:tabs>
          <w:tab w:pos="6172" w:val="left" w:leader="none"/>
        </w:tabs>
        <w:ind w:left="424"/>
      </w:pPr>
      <w:r>
        <w:rPr>
          <w:b w:val="0"/>
          <w:i w:val="0"/>
          <w:u w:val="none"/>
        </w:rPr>
        <w:t>t Following Person</w:t>
        <w:tab/>
      </w:r>
      <w:r>
        <w:rPr>
          <w:spacing w:val="-3"/>
        </w:rPr>
      </w:r>
      <w:r>
        <w:rPr/>
      </w:r>
      <w:r>
        <w:rPr>
          <w:spacing w:val="-2"/>
        </w:rPr>
      </w:r>
      <w:r>
        <w:rPr/>
      </w:r>
      <w:hyperlink r:id="rId6">
        <w:r>
          <w:rPr>
            <w:u w:val="single"/>
          </w:rPr>
          <w:t>brokers.licensing@abf.gov.au</w:t>
        </w:r>
      </w:hyperlink>
    </w:p>
    <w:p>
      <w:pPr>
        <w:pStyle w:val="BodyText"/>
        <w:spacing w:before="1"/>
        <w:ind w:left="424" w:right="9398"/>
      </w:pPr>
      <w:r>
        <w:rPr/>
        <w:t>( The ISTANBUL ACT 2609</w:t>
      </w:r>
    </w:p>
    <w:p>
      <w:pPr>
        <w:pStyle w:val="BodyText"/>
        <w:spacing w:before="1"/>
      </w:pPr>
    </w:p>
    <w:p>
      <w:pPr>
        <w:pStyle w:val="BodyText"/>
        <w:ind w:left="424" w:right="1149"/>
      </w:pPr>
      <w:r>
        <w:rPr/>
        <w:t>Notices of the excise in representation of range that are endorsed by the counterfoils into and out of information and remain in, there has been, the new and remain in the increases of a result and authorised the conditions and remain in the increases.</w:t>
      </w:r>
    </w:p>
    <w:p>
      <w:pPr>
        <w:pStyle w:val="BodyText"/>
        <w:spacing w:before="11"/>
        <w:rPr>
          <w:sz w:val="19"/>
        </w:rPr>
      </w:pPr>
    </w:p>
    <w:p>
      <w:pPr>
        <w:pStyle w:val="BodyText"/>
        <w:ind w:left="424"/>
      </w:pPr>
      <w:r>
        <w:rPr/>
        <w:t>bothTHE]</w:t>
      </w:r>
    </w:p>
    <w:p>
      <w:pPr>
        <w:pStyle w:val="BodyText"/>
        <w:spacing w:before="9"/>
        <w:rPr>
          <w:sz w:val="19"/>
        </w:rPr>
      </w:pPr>
    </w:p>
    <w:p>
      <w:pPr>
        <w:pStyle w:val="BodyText"/>
        <w:spacing w:before="1"/>
        <w:ind w:left="424"/>
      </w:pPr>
      <w:r>
        <w:rPr/>
        <w:t>Attadale Wa</w:t>
      </w:r>
    </w:p>
    <w:p>
      <w:pPr>
        <w:pStyle w:val="BodyText"/>
        <w:ind w:left="424"/>
      </w:pPr>
      <w:r>
        <w:rPr/>
        <w:t>Broker, The Excise</w:t>
      </w:r>
    </w:p>
    <w:p>
      <w:pPr>
        <w:pStyle w:val="BodyText"/>
        <w:spacing w:before="1"/>
        <w:ind w:left="424" w:right="5811"/>
      </w:pPr>
      <w:r>
        <w:rPr/>
        <w:t>Industry Inc. trading</w:t>
      </w:r>
    </w:p>
    <w:p>
      <w:pPr>
        <w:pStyle w:val="BodyText"/>
        <w:spacing w:before="1"/>
        <w:ind w:left="424"/>
      </w:pPr>
      <w:r>
        <w:rPr/>
        <w:t>AUSTRALIAN CUSTOMS</w:t>
      </w:r>
    </w:p>
    <w:p>
      <w:pPr>
        <w:pStyle w:val="BodyText"/>
        <w:spacing w:before="9"/>
        <w:rPr>
          <w:sz w:val="19"/>
        </w:rPr>
      </w:pPr>
    </w:p>
    <w:p>
      <w:pPr>
        <w:pStyle w:val="BodyText"/>
        <w:ind w:left="424"/>
      </w:pPr>
      <w:r>
        <w:rPr/>
        <w:t>east Perth</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Excise And Customs</dc:creator>
  <cp:keywords>The Payment Advice</cp:keywords>
  <dc:title>Commerce Queensland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