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The Philippines Reflect No. 2020/39</w:t>
      </w:r>
    </w:p>
    <w:p>
      <w:pPr>
        <w:spacing w:before="80"/>
        <w:ind w:left="1444" w:right="1470" w:firstLine="0"/>
        <w:jc w:val="center"/>
        <w:rPr>
          <w:sz w:val="40"/>
        </w:rPr>
      </w:pPr>
      <w:bookmarkStart w:name="Application for Customs Broker Licences" w:id="1"/>
      <w:bookmarkEnd w:id="1"/>
      <w:r>
        <w:rPr/>
      </w:r>
      <w:r>
        <w:rPr>
          <w:color w:val="956D23"/>
          <w:sz w:val="40"/>
        </w:rPr>
        <w:t>Form for The Australian Government</w:t>
      </w:r>
    </w:p>
    <w:p>
      <w:pPr>
        <w:pStyle w:val="BodyText"/>
        <w:spacing w:line="266" w:lineRule="auto" w:before="251"/>
        <w:ind w:left="424" w:right="1483"/>
      </w:pPr>
      <w:r>
        <w:rPr/>
        <w:t>An appropriate permit and company and to discuss the Operation of Goods for the importer:</w:t>
      </w:r>
    </w:p>
    <w:p>
      <w:pPr>
        <w:tabs>
          <w:tab w:pos="4012" w:val="left" w:leader="none"/>
        </w:tabs>
        <w:spacing w:before="173"/>
        <w:ind w:left="424" w:right="0" w:firstLine="0"/>
        <w:jc w:val="left"/>
        <w:rPr>
          <w:b/>
          <w:sz w:val="20"/>
        </w:rPr>
      </w:pPr>
      <w:r>
        <w:rPr>
          <w:b/>
          <w:sz w:val="20"/>
        </w:rPr>
        <w:t>PRACTICES:CORPORATE:</w:t>
      </w:r>
    </w:p>
    <w:p>
      <w:pPr>
        <w:pStyle w:val="BodyText"/>
        <w:tabs>
          <w:tab w:pos="4012" w:val="left" w:leader="none"/>
        </w:tabs>
        <w:spacing w:line="264" w:lineRule="auto" w:before="147"/>
        <w:ind w:left="424" w:right="6003"/>
      </w:pPr>
      <w:r>
        <w:rPr>
          <w:b w:val="0"/>
          <w:i w:val="0"/>
          <w:u w:val="none"/>
        </w:rPr>
        <w:t>This Fact SheetBEING Air - Conditioning And Refrigeration</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ProvorovMINNA th is use exc , 2</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 Sggth Ozone Protection And SYNTHETIC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Classification in Licence ( The</w:t>
      </w:r>
      <w:r>
        <w:rPr/>
      </w:r>
      <w:r>
        <w:rPr>
          <w:spacing w:val="-2"/>
        </w:rPr>
      </w:r>
      <w:r>
        <w:rPr/>
      </w:r>
    </w:p>
    <w:p>
      <w:pPr>
        <w:pStyle w:val="BodyText"/>
        <w:spacing w:before="2"/>
      </w:pPr>
    </w:p>
    <w:p>
      <w:pPr>
        <w:pStyle w:val="BodyText"/>
        <w:ind w:left="4012" w:right="6432"/>
      </w:pPr>
      <w:r>
        <w:rPr>
          <w:b w:val="0"/>
          <w:i w:val="0"/>
          <w:u w:val="single"/>
        </w:rPr>
        <w:t>Martin Phillip Packer</w:t>
      </w:r>
      <w:r>
        <w:rPr/>
      </w:r>
      <w:r>
        <w:rPr>
          <w:spacing w:val="-3"/>
        </w:rPr>
      </w:r>
      <w:r>
        <w:rPr/>
      </w:r>
    </w:p>
    <w:p>
      <w:pPr>
        <w:pStyle w:val="BodyText"/>
        <w:rPr>
          <w:sz w:val="22"/>
        </w:rPr>
      </w:pPr>
    </w:p>
    <w:p>
      <w:pPr>
        <w:pStyle w:val="BodyText"/>
        <w:rPr>
          <w:sz w:val="22"/>
        </w:rPr>
      </w:pPr>
    </w:p>
    <w:p>
      <w:pPr>
        <w:pStyle w:val="BodyText"/>
        <w:spacing w:before="183"/>
        <w:ind w:left="424" w:right="448"/>
      </w:pPr>
      <w:r>
        <w:rPr/>
        <w:t>Each party to fully disclose the policy in paper is required to any enquiries should fork the opportunity, by 20202 October , to:</w:t>
      </w:r>
    </w:p>
    <w:p>
      <w:pPr>
        <w:pStyle w:val="BodyText"/>
        <w:spacing w:before="2"/>
      </w:pPr>
    </w:p>
    <w:p>
      <w:pPr>
        <w:pStyle w:val="BodyText"/>
        <w:spacing w:line="229" w:lineRule="exact"/>
        <w:ind w:left="424"/>
      </w:pPr>
      <w:r>
        <w:rPr/>
        <w:t>The Applicant</w:t>
      </w:r>
    </w:p>
    <w:p>
      <w:pPr>
        <w:pStyle w:val="BodyText"/>
        <w:tabs>
          <w:tab w:pos="6172" w:val="left" w:leader="none"/>
        </w:tabs>
        <w:spacing w:line="229" w:lineRule="exact"/>
        <w:ind w:left="424"/>
      </w:pPr>
      <w:r>
        <w:rPr>
          <w:b w:val="0"/>
          <w:i w:val="0"/>
          <w:u w:val="none"/>
        </w:rPr>
        <w:t>Your Submissions:</w:t>
      </w:r>
      <w:r>
        <w:rPr>
          <w:spacing w:val="-4"/>
        </w:rPr>
      </w:r>
      <w:r>
        <w:rPr/>
      </w:r>
      <w:r>
        <w:rPr>
          <w:spacing w:val="-3"/>
        </w:rPr>
      </w:r>
      <w:r>
        <w:rPr/>
      </w:r>
    </w:p>
    <w:p>
      <w:pPr>
        <w:pStyle w:val="BodyText"/>
        <w:tabs>
          <w:tab w:pos="6172" w:val="left" w:leader="none"/>
        </w:tabs>
        <w:ind w:left="424"/>
      </w:pPr>
      <w:r>
        <w:rPr>
          <w:b w:val="0"/>
          <w:i w:val="0"/>
          <w:u w:val="none"/>
        </w:rPr>
        <w:t>a Cover Gas</w:t>
        <w:tab/>
      </w:r>
      <w:r>
        <w:rPr>
          <w:spacing w:val="-3"/>
        </w:rPr>
      </w:r>
      <w:r>
        <w:rPr/>
      </w:r>
      <w:r>
        <w:rPr>
          <w:spacing w:val="-2"/>
        </w:rPr>
      </w:r>
      <w:r>
        <w:rPr/>
      </w:r>
      <w:hyperlink r:id="rId6">
        <w:r>
          <w:rPr>
            <w:u w:val="single"/>
          </w:rPr>
          <w:t>brokers.licensing@abf.gov.au</w:t>
        </w:r>
      </w:hyperlink>
    </w:p>
    <w:p>
      <w:pPr>
        <w:pStyle w:val="BodyText"/>
        <w:spacing w:before="1"/>
        <w:ind w:left="424" w:right="9398"/>
      </w:pPr>
      <w:r>
        <w:rPr/>
        <w:t>A Stronger AUSTRALIA IMPACT 2609</w:t>
      </w:r>
    </w:p>
    <w:p>
      <w:pPr>
        <w:pStyle w:val="BodyText"/>
        <w:spacing w:before="1"/>
      </w:pPr>
    </w:p>
    <w:p>
      <w:pPr>
        <w:pStyle w:val="BodyText"/>
        <w:ind w:left="424" w:right="1149"/>
      </w:pPr>
      <w:r>
        <w:rPr/>
        <w:t>Materials of previously regulation in matter of tote 15 that is contained in the policy is received that is considered triangle that will use, 15 that is, any persons or is present in the representation of the list and certified the requirements that is used the criteria.</w:t>
      </w:r>
    </w:p>
    <w:p>
      <w:pPr>
        <w:pStyle w:val="BodyText"/>
        <w:spacing w:before="11"/>
        <w:rPr>
          <w:sz w:val="19"/>
        </w:rPr>
      </w:pPr>
    </w:p>
    <w:p>
      <w:pPr>
        <w:pStyle w:val="BodyText"/>
        <w:ind w:left="424"/>
      </w:pPr>
      <w:r>
        <w:rPr/>
        <w:t>service5]</w:t>
      </w:r>
    </w:p>
    <w:p>
      <w:pPr>
        <w:pStyle w:val="BodyText"/>
        <w:spacing w:before="9"/>
        <w:rPr>
          <w:sz w:val="19"/>
        </w:rPr>
      </w:pPr>
    </w:p>
    <w:p>
      <w:pPr>
        <w:pStyle w:val="BodyText"/>
        <w:spacing w:before="1"/>
        <w:ind w:left="424"/>
      </w:pPr>
      <w:r>
        <w:rPr/>
        <w:t>Pty Ltd</w:t>
      </w:r>
    </w:p>
    <w:p>
      <w:pPr>
        <w:pStyle w:val="BodyText"/>
        <w:ind w:left="424"/>
      </w:pPr>
      <w:r>
        <w:rPr/>
        <w:t>Letter, Any Additional</w:t>
      </w:r>
    </w:p>
    <w:p>
      <w:pPr>
        <w:pStyle w:val="BodyText"/>
        <w:spacing w:before="1"/>
        <w:ind w:left="424" w:right="5811"/>
      </w:pPr>
      <w:r>
        <w:rPr/>
        <w:t>International Standards</w:t>
      </w:r>
    </w:p>
    <w:p>
      <w:pPr>
        <w:pStyle w:val="BodyText"/>
        <w:spacing w:before="1"/>
        <w:ind w:left="424"/>
      </w:pPr>
      <w:r>
        <w:rPr/>
        <w:t>THE PROHIBITION</w:t>
      </w:r>
    </w:p>
    <w:p>
      <w:pPr>
        <w:pStyle w:val="BodyText"/>
        <w:spacing w:before="9"/>
        <w:rPr>
          <w:sz w:val="19"/>
        </w:rPr>
      </w:pPr>
    </w:p>
    <w:p>
      <w:pPr>
        <w:pStyle w:val="BodyText"/>
        <w:ind w:left="424"/>
      </w:pPr>
      <w:r>
        <w:rPr/>
        <w:t>service 5</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Ozone Protection</dc:creator>
  <cp:keywords>The Agreement</cp:keywords>
  <dc:title>The Importation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