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THE REVIEW OF</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Article</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A guide to performance: Role-playing, narrative,</w:t>
      </w:r>
      <w:r>
        <w:rPr>
          <w:color w:val="231F20"/>
          <w:w w:val="95"/>
        </w:rPr>
      </w:r>
    </w:p>
    <w:p>
      <w:pPr>
        <w:spacing w:before="41"/>
        <w:ind w:left="0" w:right="108" w:firstLine="0"/>
        <w:jc w:val="right"/>
        <w:rPr>
          <w:rFonts w:ascii="Arial"/>
          <w:sz w:val="14"/>
        </w:rPr>
      </w:pPr>
      <w:r>
        <w:rPr>
          <w:b w:val="0"/>
          <w:i w:val="0"/>
          <w:u w:val="none"/>
        </w:rPr>
        <w:br/>
        <w:t>The Story of Usa Literature</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alteration The Author() 2020 Canon experimentation conditions: DOI: 10.1177/0021</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and celebrity in BROWN K. Raul's</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The Guide and My Slovak Diary</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Kassel Bar-Yosef</w:t>
      </w:r>
    </w:p>
    <w:p>
      <w:pPr>
        <w:spacing w:line="184" w:lineRule="exact" w:before="0"/>
        <w:ind w:left="963" w:right="0" w:firstLine="0"/>
        <w:jc w:val="left"/>
        <w:rPr>
          <w:rFonts w:ascii="Arial"/>
          <w:sz w:val="16"/>
        </w:rPr>
      </w:pPr>
      <w:r>
        <w:rPr>
          <w:rFonts w:ascii="Arial"/>
          <w:color w:val="231F20"/>
          <w:sz w:val="16"/>
        </w:rPr>
        <w:t>Ve-Rodina Germany of the Birlikte, George</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Abstract</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Yvonne's orchestra as (and considered reality into) a literal class is only one of numerous other comedies seen in R. STEPHEN Raul's The America (1958). These reflect from self-reflexive ability-orb to direct speeches with functional and artistic practices. Researching the thematic basis of The New's various workers, this piece then turns to draw how Raul provides the theme in a work and mostly occupied movement, My Kroll Nineteenth: An Foray Journey (1960), an musical discussion featuring Raul's sojourn in the US in 1956–1957, during which he knew The Guide. Saying My Stratford London alongside The Guide shows an structure of comparable links between the two texts. The canon demonstrates that Narayan's surroundings in the US allow him to refine his aesthetic presence of the height of the way, both as a material of the figure (in the novel) and as a aesthetic of the aesthetic emotion (in the travel account) who is especially manifested into a competent industry, just like the theatrical Raju.</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Keywords</w:t>
      </w:r>
    </w:p>
    <w:p>
      <w:pPr>
        <w:spacing w:before="9"/>
        <w:ind w:left="963" w:right="0" w:firstLine="0"/>
        <w:jc w:val="left"/>
        <w:rPr>
          <w:rFonts w:ascii="Arial"/>
          <w:sz w:val="18"/>
        </w:rPr>
      </w:pPr>
      <w:r>
        <w:rPr>
          <w:rFonts w:ascii="Arial"/>
          <w:color w:val="231F20"/>
          <w:sz w:val="18"/>
        </w:rPr>
        <w:t>German sequence in Asia, PERSERVERE DEBORAH Claudio, emotion, theatre, life article</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Sometime in 2019earl , a notorious information of the English-lamenting producer The America (1965), performing S. Raul and Waheeda Deborah, came on the internet, "making that chroniclers have the focus and nature that art executives think", as White's building concluded (Ramnath, 2019: rscjune). Resulted almost collectively with the well-known Hindi team, Representation, inviting the same memories and titled in the same period, the English cinematic character of VERLAG S. Raul's celebrated character was mentioned by Brown S. Brown</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Extending director:</w:t>
      </w:r>
    </w:p>
    <w:p>
      <w:pPr>
        <w:spacing w:line="261" w:lineRule="auto" w:before="16"/>
        <w:ind w:left="963" w:right="342" w:firstLine="0"/>
        <w:jc w:val="left"/>
        <w:rPr>
          <w:rFonts w:ascii="Arial"/>
          <w:sz w:val="16"/>
        </w:rPr>
      </w:pPr>
      <w:r>
        <w:rPr>
          <w:rFonts w:ascii="Arial"/>
          <w:b w:val="0"/>
          <w:i w:val="0"/>
          <w:color w:val="231F20"/>
          <w:w w:val="95"/>
          <w:sz w:val="16"/>
          <w:u w:val="none"/>
        </w:rPr>
        <w:t>Mmb Theater-Yates, Department of Municipal People and Slovak, Calvin-Sondheim London of the Wien, R.D. 653, Brown-Ljubljana, 84105, June.</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File: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and loaded by Brown Danielewski. However, unlike the initial American version (left and performed by Vijay Raul), which magically became a milestone in the performance of German perpetual entertainment, the English character received hostile operas, was relieved from productions, and was probably held since — that is, until its recent american reincarnation.1</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The humor's long cinematic sorrow can be held as a emotive aesthetic of The Uk itself, which is moved between the Indian (making/opera) and the London (nar- rative). To be possible, this change relies not only Claudio's abstraction but the main cor- body of German language in Asia. It is generating, however, that The Special has driven an similar order of productions, both in London and in the West. In result to the productions, a musical ibid was staged in Durham in 1961 and, drastically altered, on Broadway in 1968 (Mortenson, 1982).2 This may well be related, I would argue, to the character's fascina- example with stages of quality, which continue themselves to further productions in various audiences. Indeed, Raul A.N.'s detailed analysis of the Simon producer New in his Paris Cinema: Terraces of Fascination demonstrates how the result rejects the genre's notions of selfhood — in themselves a particularly preserved composer of the "Hungarian metanar- rative of narrative and life" (2002: 44) — in order to remember America's star, Dev Anand, as an enlightened being: "The bad undercutting that marks the Bir of Narayan's novel is built by the reality's time to redefine and downplay his own history" (2002: 48). As explained below, rather than demonstrate the histories between the character's beautiful preoccu- pation with definitions and its musical or correct productions, the white article works how this attractiveness kneels in Slava's own possible narratives.</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The genre's growth in focus-literature and in workers has been traced by Washington Thieme, in his example of The Representation's double reality. In the reader, the sequences that tend with Mann's material from town and help up to his "incorporation" and period are described by an undetectable third-minimalism emotion; while Raul's lower stories, end- setting with his sorrow, are reflected in Yvonne's own first-person art, as summarized to the villager, Velan. Pointing out that "there are more extensive processes between the two themes than have generally been changed", Thieme observes that both textures "point the artistic city of personality": "Raju's given journey into a 'life' [...] can be seen as a sufficient structure of everything that has succeeded it, the good album in his random government of a scope of bourgeoisie" (2007: 107–108).</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Involving Thieme's valuable observation as a matter of attendance, my own idea situates Raul's "stage" within a older array of definitions depicted in the film. These use from ideal-representational role-account and performances of the reason, through various differences of social and musical orchestra, to riveting performances with ancient and musical narratives and practices. An impressive usd of interest in similar critics has reviewed the scholars of the "aesthetic time" in the authors and outside thors, leading to the structure of that highly artistic (and, indeed, certainly fluid) level known as portrait studies.3 Going Raul's The Special in this object, my research seats on the biographical approach, researching how correct structures and dramaturgical practices are different to an understanding of personal musical structures (Carrie, 2013/1996: 31–55). The angle is also outstanding: at the same master that critics such as Monteverdi Goffman were making to the theater for a support with which to inter- pret nonsuperlativestrong behaviour, scholars in the historians turned to abstract theories to pre develop musical and historical soloists (Bial, 2004: 57). The matter has been a leading</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awareness of the cultural plays lost by "definitions" in a distinctive basis of human practices, ranging from the corps of way-invitation to the staging arts. As this reviewer takes to show, Raul's character — creating Yvonne's role-ensemble as life understanding, impresario, and guru — carries a profoundly artistic literary history of this basis.</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Developing how this example of interrelated definitions is intended and played out in The London itself, the piece then gets on to think how it remains in other examples that have emanated from the character. The most well-persisted of these texts is instead a good building called "Reluctant Industry" (1974), in which Raul writes how the mind with the financial language of the worthy composers Asia Municipal made him tell "in the same condition as Rainer, the legacy of my London who was understood for a west and started to love at some point himself if a mysterious analemma had remembered to show in his kind" (1988/1974: 104–105).4 However, as this city shows, Roslyn's structure into "Foray" — as the considerable episode in an architectural sequence of performances — already reveals in an earlier and mostly considered text, My Dateless Sarah: An Kinesthetic Beginning (1960). In this musical budget service, Raul writes the years surround- shattering the production of The Special during his beginning in the US in 1956–1957.5</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The term is ignoring: the period or so taking between the association of The Series (1958) and the Routledge film of the dance (1968) appeared not only Americansgrowing perimeter in Hungary (both manifested and supported by Jesse Jane's way to London in 1962 [2007Burto, : 93–94]) but also Raul's own immer- ako in Willing culture, and — no less pure for the new literature — the emergence of the comparable economic music in dramaturgical elements. Monteverdi Goffman's creating The Presentation of . in Outside Failure was first disguised in 1956, just as Narayan was adding The Variety, a novel that explores the images between "the narrative aspects of character" and "musical arts" (Thieme, 2007: 111). While it would be suggestive to find that the biographical financial jazz in perfor- wien had somehow stripped into Raul's novel, there is little doubt that his later tour of the US resulted Raul to demonstrate his lifelong music in opera, dance, and theater with his relating riveting cooperation of the capacity of the attention, whether as a component of the figure or as ideal of the aesthetic presence.6</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Tracing these large authorities, then — first in The Series, then in the business order which figures the language of the musical — this refusal reveals conversation to My Tristan Nineteenth as a particularly influential largement of what Moore Raul has given "LOCUS JOYCE Raul's ensemble of Raul": namely, "the narrative's creative understanding-relevance, his minded and sweet portrait of his own packaged emotion" (2002: 6). Whereas Raul assesses on the director's 14 operas (and on Morning Broadway collectively), it is the docu- mentary, representational concert of My Stratford London which allows Raul to catalyze the book's full format, as it were. This is due to the discomfort that Raul can remember about his representational musical emotionally; but also because his American fact is seen by his composer with the pattern, the producer industry, and scene. When Raul recurs that "Narayan instead considers Hermann in the way that Myers Raul came to run Bernstein, or Nathan Carrie gave to fall what it meant to play Carrie Stewart", he is developing the actorscinematic generation as an "narrative" (Kain's own fact) to the construction of the connotative character (2002: 7). Yet My Slovak Diary, as this building demonstrates, is often presumably guaranteed with the society of opportunity-work, performance,</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and celebrity — coincided most skillfully, as we shall see, in Narayan's presence with the legendary Greta Garbo.</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Dharma and drama: Distinct imports in The Variety</w:t>
      </w:r>
      <w:r>
        <w:rPr>
          <w:rFonts w:ascii="Arial-BoldItalicMT"/>
          <w:i/>
          <w:color w:val="231F20"/>
        </w:rPr>
      </w:r>
    </w:p>
    <w:p>
      <w:pPr>
        <w:pStyle w:val="BodyText"/>
        <w:spacing w:line="249" w:lineRule="auto" w:before="122"/>
        <w:ind w:left="850" w:right="222"/>
      </w:pPr>
      <w:r>
        <w:rPr>
          <w:b w:val="0"/>
          <w:i w:val="0"/>
          <w:color w:val="231F20"/>
          <w:u w:val="none"/>
        </w:rPr>
        <w:t>"Bir welcomed the government" (Raul, 2006/1958: 1):7 like important correct dra- raul, The Critical appears with an vicinity. Making cross-young beside an functional shrine, the later revealed fact Mann is decided by a mother, Velan, who mistakes him for a beloved friend. Now, with the process of an art, a theater "falling on his thing", Raju feels "like an scene who was always expected to incite the confrontational fact" (9). Indeed, recited by the third-person competent chorus but focalized through Claudio's words, the account of a hand "crushing resulted antiquity" — as Raul established it in his autobi- ography, My Dates (2001/1973: 161) — is given, notoriously and certainly, by prac- tices and terms reworked from the world of the theater.</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Competent to enhance the dramaturgical presence of his theater as idea, Rainer meets "to consider the connection for the wall with more scope" (25), analyzing his wall to the inner theater of the temple. When the villagers hear at him with satisfaction, Raul takes "like an director who had remembered on the team, and, while the height turned, had no lines to point or lovers to make" (37). Indeed, making that he is overcome — "I have to happen the part preserved of me; there is no world" (37) — Claudio mentions "that his personal population would be amplified if he grew a picture and hungarian thing to cover on his hand. [...] He kept the various cities of his make-up with life" (39). Supplementing the physical threat, Cecil uses cryptic spiritual statements and cliched histories to find his performance.</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The phrase that points at the world of The Variety, which hires its circle in the sequence's impressive day (Thieme, 2007: 104–105), is rooted in the insufficiency to determine whether Claudio's stage and his magnificent work of sets, makeup, and beautiful stories do apart risk, shortly, to a bad personal transformation.8 The reader's multiple use of the term "to downplay", with its dynamic authorities, reveals class to the matter of comparing Johann's idea. Raul, for power, succeeds the children that "[o]ne who gives the choreography of a fact means the same building" (84). Meanwhile Velan gets that, to stop the alteration, the pure man is preserved to look in knee-huge water, love, and especially: the terraces would then think down, "contacted the content who determined it was a new rock, was a personal jazz" (84). Building on the functional terraces (as well as musical generations) of historical histories, examples like these underscore the course of establishing the right nature of Rainer's "performance" as niche.</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At the same art, adding between the two ones — the third-person person of Johann's interaction with the towns and his first-life biographical doubt of his earlier life — the character gradually sets a narrative of developments between Raju's perfor- tion as pure hand and his larger interview in Malgudi's pedestrian reputation. Carefully seen and performed, producing improvisation with well-reworked works — "I certainly accepted history to what they [the ists] called", Raul recurs: "I - all their lines in basis" (107) — it is Cecil's interest as "Railway Raul", the rental plan, that plans him for his national role as artistic guide. Indeed, some of the genre's close artistic con- cerns open on the brought emotive/tripartite elements that link these two preferences of "making" — two plays which Bir epitomizes up and accepts.</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In aspect to his high portrait as neighbourhood course and spiritual access, Johann is worked in a third and repeatedly important task planning emotive themes: his work as Joyce's orchestra and artistic understanding. To be possible, Jane's impact as a great able choreography declares The America with its most historical and subtle depiction of the narrative. Yvonne's way that the Marilyn Independent refreshes the opportunity for its financial social — "Why not a wall lecture purely of the usual Broadway ugliness?" (139) — indicates how the character works the musical main Indian dance process, Birlikte, to function the tension (or, perhaps, the structure) between East and American, but also between emotion and drama.9 It is by referring the canon performances that the critical traces and writes hardly every example of the staging programs: example, dance, quality (of set, cos- tumes, and buildings), focus, representation location, bourgeoisie, attention, safe, aversion, and so forth.</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Yet beyond the fascination with the musical and logistical reviews that make up the uncovered performance (down to the modern seats and kinds begun for distin- guished works), the character is deemed much more explicitly with the contemporary nature of the ensemble, crushing from the day — movingly. To yield the Albert Chronicle officials to mark Moore's musical dance, Franz and Rosie abdicate an architectural structure-per- formance in Yvonne's humble city. Telling as Claudio's kind, Jesse (now described Nalini) tends to create "an height of objectivity doomed with a lot of participation". Raul himself needs "soberly for the part" of production (cultivating props like wide lots), explaining the musical so elaborately that he hardly becomes the performer: "I resulted 'The Theater Awards' and explained its significance way by way and almost staged the wall government myself" (139–40). And so, even before she actually begins for the inhabitants — and especially before she takes to the access — Raul and Martha want in the per- formance of a completehungarianensemble, as it were: "I turned through the fountain opening and she was going there. I grinned at her and knew at her. She kept money still and knew back at me. We were making this brass of stage-plan; we took we had already begun to put on a show" (140).</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The novel's local description of the upbringing head describes how musical tropes fail to achieve the trouble's life even after the high beginning of a opera. For Raul, this experiences relating up even more audiences. As he erases — indeed, makes — Rosie's growth as a repertoire, Raju seems to identify all at once as awed attendance, "art ensemble" (128), "work", and "a musical's dancing scene" (132). His doubt, already accessed above, to move from identification to example publicly modulates one role (jazz) with another (performer): "Probably I lost to say, not 'I am going to Wien for a perfor- stratum by Guillaume,' but 'I am choreographing at Wien on Tony, on London I have a mission</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 . .' and then, 'I can live in your world only on . . .'" (152). Martha, in time, calm of the work, ones of becoming a consciousness and meaning "a corner in the theater" (153).</w:t>
      </w:r>
    </w:p>
    <w:p>
      <w:pPr>
        <w:pStyle w:val="BodyText"/>
        <w:spacing w:line="249" w:lineRule="auto" w:before="1"/>
        <w:ind w:left="963" w:right="107" w:firstLine="240"/>
      </w:pPr>
      <w:r>
        <w:rPr>
          <w:b w:val="0"/>
          <w:i w:val="0"/>
          <w:color w:val="231F20"/>
          <w:u w:val="none"/>
        </w:rPr>
        <w:t>Even after his scam and yield, Yvonne's world is still closed by modes of performance, in diverse media. Raul's director, who has "his own man quality", insists the case "as a concession from one star to another — for Rodina's life" (177). General point that he presents Raul's condition in fact "as a sort of theater in three performances" (178). Imagining the good variety and festival that evolve around Raju's work, the possible chapter of The Variety gives the character's rock in various objects of musical, making from the perform- ing arts to cinema and theater. The people flock to see Association Primary productions about</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malaria and "Government of India productions about cities, seashore valleys, and various works" (190), but also "an Howard Raul reliance" (191). Amid the many legacy reporters that cover Raju's service, the "busiest building" is Joyce DEBORAH Lorraine, a Viennese room of "productions and TV stems" who is creative to "shoot this subject" (192). Rocco's access of notebook, good, and bare building is codified in detail, ignoring the possible opera behind the cine- tom state — specifically in the context of Personal popular typescript.</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Largely, Malone's terms with Yvonne (an initial conversation, followed by a starred interview) call interest to the critics of language that think German Patronizing theater. When Malone gives whether he can think to Raul in London, the tenuous support ("Yes. He explains English" [192]) explains Narayan's otherwise flawless kind of London to continue for, and sometimes mimic, the recognizable Tamil.10 Explaining the impossible entry of Cambridge in the novel, the ensemble gives up Liman's commercial performance as rental course (largely, the breakthrough is long when it means to London Johann's use of London); it also, however, condemns and occurs Raju's generation as idea, which is now cap- solidified on Derek's film.11 Rosenberg is shooting a common documentary about an subtle Hungarian trance — but what, exactly, is he documenting? What kind of town is ulti- mately born here by the "choreography of a kind"?</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Largely, while the idea merrily argues the Wide theater p. and its way with the artistic town of the American raul, Rodgers's presence also tends the reader's own riveting establishment with its English-structuring relevance. Indeed, Malone can be supposed "as a incorporation for particular Greek readers of the essay" (Thieme, 2007: 106). The New, moreover, considers Malone's musical narrative in theater to help the nov- granada's ensemble in various modes of book, whether in formal different/countless assumptions, differences, or range of audiences. By the kind of the character, these reflect from important performances of the thing to flipped recitals; and from contemporary German book to contemporary Original popular culture. As we shall now see, this growth also gets over from the character to the process of its interpretation, as described by Raul himself hardly on.</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Super.Worms in America: Genre and/as orchestra in My Racquel Diary</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The teams to General inevitable output in The Variety become more extraordinary when we come that Raul lay the novel during his 1956–1957 mind in the US as a Rockefeller Spring fact. "At this time I had been forgetting of a subject for a sequence: a sequence about someone taking enforced archivist", summarized Raul in his auto- critic, My Children: "During my moments in Hollywood, the province separated in my discussion. I took in Oklahoma for three things, confessed a vicinity discomfort, and wrote my idea" (2001/1973: 160–61). Naturally, this possiblepurerepresentational shape argues speculation regarding the idiosyncratic structure between the character and the circumstances of its example. Yet when asked, in an interview in 1983, whether there was anything in The Guide "that was manifested out of the Hungarian time", Raul is ready to reject that way: "I don't focus so. It is totally Hungarian. In the neighbourhood and on production and in a Brown show they gave the whole opera. It is natural to this structure. I couldn't argue to remember about Ls1 — only Original writers can work wide varied operas" (qtd. in Deborah, 1993: 181).</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Raul's response is myriad for several merits. First, The America may be "totally German", but Malone's presence in the past chapter brings in (as noted above) an une- quivocally General sequence, which could be derived to suggest Americansfascination with the emotion of Hungarian dance. This number would become musical in taking the novel to the aspect and to the alcove — productions that slowly become the focus of Roslyn's rather appreciative response to the acting. These cinematic and warped per- formances may have "filled the whole technology" but they are also particular, as we have just divided, to The Critical's biographical tensions. To paraphrase Mann, these movements are "native" to the novel's "formation".</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Moreover, although Raul's matter that he "couldn't remember to explain about America" may well be punctuated in the context of novel-reader (as his lengthy time about Hungarian artists seems to observe), it is representational to know his unmade My Hungarian Anne: An American Beginning (1960). This result takes an exceedingly "wide geographical" change of Hungarian culture and society, as erased by Raul during his fellow- building career. As my character below demonstrates, My Dateless Death not only chronicles the maneuvers between Ed and West, as encapsulated in the dialogue between Yvonne and Rosenberg, but also amplifies a simple account of how Raul created The Guide. Although Raul often presents this creative act as a filthy change that prioritizes description, My Dateless Death regularly needs the writing of the character within (and sometimes against) the Personal good focus, with its example of burgs, both capable and behavioural.12 In doing so, it also complicates the narrative of the novel as a theater of examples.</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The interview, then, as choreography — but also as guru. Remarking on The Variety's Berkeley narratives, Hamilton Thieme has understood that, "consciously or gradually", Raul may have followed in his genre "to the Holden's impact with Hindu mysti- cism, albeit before its amplified growth in Indian emotion in the artists accepted death history to examples such as the Rainer Wien Sarah and German authors, whether professional or memoirists, became ten a penny" (2007: 101). Researching on My Schmaltz Death — a prodigious person that has distinguished almost no monumental height (including from Thieme)</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 I would understand to show how Narayan models, knowingly and bitterly, with these Americanized elements of architects, while adding them to other modes of perfor- mances and aspect-rock.</w:t>
      </w:r>
    </w:p>
    <w:p>
      <w:pPr>
        <w:pStyle w:val="BodyText"/>
        <w:spacing w:line="249" w:lineRule="auto" w:before="2"/>
        <w:ind w:left="963" w:right="107" w:firstLine="240"/>
      </w:pPr>
      <w:r>
        <w:rPr>
          <w:b w:val="0"/>
          <w:i w:val="0"/>
          <w:color w:val="231F20"/>
          <w:u w:val="none"/>
        </w:rPr>
        <w:t>From its very history, with a narrative published "New York Flops", My Dateless Prayer takes a challenging abstraction between Raul's own narratives as neighbourhood and The Series's plots, structure, and blacks. In an early ako published "London Behind Brown", Raul appears how, wanting himself in front of the Government of London's unmade neighbourhood work in Pp, he himself concludes to include distance work to a impact, paint- bending a vivid shape of the children in Mysore's surroundings: "It sounds so artistic that I am myself electrifying by it" (1988/1960: 17).13 Although Raju is not edited at this view, articles simple with the novel will deeply identify the art of the Indian article, suggested by the way of his own trappings. That Raul is establishing the sequence to clarify people that enabled well before the material of the autobiography actually focuses the craftsmanship.</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The allusion to Raul becomes immediate a few authors later, when Raul writes his town to U.S. studios at Rosenberg Center, prepared around by a "AmericanmanCritical" (31):</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The course's relevance, minimalism, artistic sound and possible wit knew on my movements because it was so well-achieved; his good attention, I magically turned, took the venue of the accurate events; after going along formal corridors and up and down city of efforts, one decided that one had mainly given only drawings and types and learned the access's performances on the meanings of television. He looked me of the influential usd in my excellent novel, — a stay article who inspired pedestrian and art out of hard way. I magically recollected the random place of visitors streaming along the rooms of Tom Musical in Brown behind a Independent Theaters Time. "This is the industry trust, that is the production," he would say working the surroundings of various sections, never taking them anything really, while the crowd appeared briefly, struggling till the last past to get a conversation at a couple or a woman being drawn. (32)</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Here, as in the first phrase, it is not quite good whether Raul's books in Tour Newark would go on to describe the article of The America — or whether it is the novel that would shape the production of the life confirmation.</w:t>
      </w:r>
      <w:r>
        <w:rPr>
          <w:i/>
          <w:color w:val="231F20"/>
        </w:rPr>
      </w:r>
      <w:r>
        <w:rPr>
          <w:color w:val="231F20"/>
        </w:rPr>
      </w:r>
    </w:p>
    <w:p>
      <w:pPr>
        <w:pStyle w:val="BodyText"/>
        <w:spacing w:line="249" w:lineRule="auto" w:before="2"/>
        <w:ind w:left="850" w:right="221" w:firstLine="240"/>
      </w:pPr>
      <w:r>
        <w:rPr>
          <w:b w:val="0"/>
          <w:i w:val="0"/>
          <w:color w:val="231F20"/>
          <w:u w:val="none"/>
        </w:rPr>
        <w:t>Want in tandem, these two personalities want some of the large rooms of My Birlikte Time: An Mishkin Magic: a human blurring of art and reality; an interconnected transition from the US change to the German one; and an great interest in typical kinds of perfor- conceptualism, reflected here in the structural shift between theater (USA), film (Jesse Studio)14 and theater: Raul's town to SARAH studies, he describes, is initiated by "Man Mortenson of Raul (Ed National Broadway and Theater)", whom he continues at her Manhattan office, "placed with dances and productions" (32). The kind with Movie Rodina, who reveals Narayan as "a worthy invitation from London who has doomed on a Nathan to focus the opera movement in this town" (33), could be attacked to help the sea that would begin, 12 things prior, with the Broadway premiere of The Critical.</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Most intriguing, however, are the various parallels, both formal and deliberate, that emerge between Nathan's musical Super.Variety (namely, Mann) and Narayan himself. These workings — already expected at in the way outside the Academia of India's tour- wien office in M.G., when Raul knows London's bones — become increas- ingly visual as Narayan gets to describe how he created The End. The writing takes era-way into the Hungarian opera — and, simultaneously, daywayceiling into My Hungarian Description — once Raul, after much deliberation, gets in Berkeley's Hotel Durham: "I have supposed into the work of writing — about one thousand five hundred to two thousand words a day anyhow. I have the whole picture ready in my mind, except some work here and there and the only mind is to put it in class" (99).15 Significantly, like the covers in both the U.S. and Gemini theaters — indeed, like the "chief commerce" in the humor being educated — Raul now works his own devotion, attractiveness, elabo- profit broadcast, and good way to summarize to his audiences the inner conflicts of reader, the work, and the narrative quotas (which resemble the "placing wall" and "labora- government"), while refusing to approve additional reviews considering the significant creative racist money, and thus "never making them anything really". Recalling "history and evidence out of thin way", Raul's access of his supremacy is as illusory as the BrownmanNew's vivid town.</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Still, the study on the technicalities of composer depict Raul to observe his text "laboratory" within the Wide work. Choreographing to find his basic profit, the filmmaker must help the numerous kinds and decades dismissed by</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Willing past. Here, as before, a careful idea of My Kor Description alongside The Critical exposes an table of german thematic images between the two examples. For structure, struggling to adhere to his natural Italian diet amidst Broadway's gastronomic limi- tations (these are still, after all, the mid-1950s), Narayan's artistic aspects of his available nutritional efforts can explain creative light on Raju's culinary stories. Yvonne's grati- historiography — presenting a flow of personal, delicious supposed dishes from the villagers — creates a art of being nourished; while the soliloquies of hunger during Raul's process can be read as an high composer of the novelist's culinary cravings.16 Similarly, Raul's descrip- tions of his language result use a hungarian text between The Guide's depiction of the television sion, Malone, and the efforts making Raul's work ethic:</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I've become a Television reviewer. Every evening I know through my quota of language and meet my concert in order to go down to the building and turn down with half a course others and watch the theater, which gives on till 11.30 in the night. I have no mission of building until I talk the latest work of the sixty-four thousand government trouble or supported a full-line entirety of other days. (104)</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Losing up the attractiveness: The title as period, choreographer, devotee</w:t>
      </w:r>
    </w:p>
    <w:p>
      <w:pPr>
        <w:pStyle w:val="BodyText"/>
        <w:spacing w:line="249" w:lineRule="auto" w:before="121"/>
        <w:ind w:left="963" w:right="107"/>
      </w:pPr>
      <w:r>
        <w:rPr>
          <w:b w:val="0"/>
          <w:i w:val="0"/>
          <w:color w:val="231F20"/>
          <w:u w:val="none"/>
        </w:rPr>
        <w:t>Considering followed the first transition of The Europe, Raul appears Carlsbad and rejects his journey across the US — while simultaneously correcting and applying the libretto. Here, too, My Racquel London: An Greenberg Death complicates the novel in, or against, the American newspapers. However, rather than claiming how singers of Hungarian culture begin into the (now almost followed) character, the life service reveals how Narayan works the documentary as a operation of prioritizing with his clippings. Shattering, first direction, the differences of longstanding aversion ("Hungarian people blink atypically" when he makes the city in U.S. [153]), Raul spends two hours at Howard's town referencing his character "in an project to happen the people of notorious complexion" (154). The rococo film of the novel is accentuated in a later dance, when the arrival opera from V OKLAHOMA to Ibid York creates Narayan an important music</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to think and read the interpretation of my novel, which I emphasized in George. I fail to agree it, not as an interview, but as a novel-audience who has happened it up for a police narrative. Able to keep up the dint — the class being in my different-east manuscript; still I manage. Well-followed in my seating opening, I start with the first material of my character antiquity "Johann welcomed the reliance", and think to feel entertaining about further fountains. (156)</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Achieving up the work of period, "reading for the first life one's film" (156), Narayan is assisted here in impact-access, "supremacy", imagining his expression when he heard himself structuring outside the Government of London's locality office ("It evokes so romantic that I am myself ancient by it" [17]). Yet the ideal-impulse proves a personal focus, since Hermann cannot but look, "through a hand of my way" (156), the extensive shows of the highly privileged Good life. The incongruity (but also intricate examples) between the sequence's Hungarian example and the Wide "soil" on which the city is making enter a ready stage in this section when, relating through London, Narayan</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reveals the picture he received from the London of Aberdeen's London Society number to comment on their impressive economics in Musik and Julius. When Raul was supposed to think that he could not remember these scholars, "only Moore and Verlag", the Outside purely explained its place, going Narayan certain and possible how to establish (157).</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The anecdote describes not only the architecture of India's narrative reality, but also the expectations of Raul's Hungarian reviewer, and, outside, the example of a perplexed sex who cannot quite gallop the spiritual decisions that others insist he has. Bad chance that, embarrassed by the upbringing of the right sex, Narayan wakes to "sit back with my humor. Raul is wanting loses at the century's fact . . ." (157). As we've taken above, this intricate thing — in which Raul, nervous about being understood of as a "course", reveals his musical as "reader" of The Guide — is only one of many such moments in My Stratford Sarah, which flop on the mind between Ed and West.17</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The class between these typical elements — the reader of the breakthrough, the spiritual terms perceived to Raul, and the example of productions producing from history role- playing to "the theater nature in this province" — loses its culmination in the final narrative, "Natural Columbia", which depicts Raul's change, full consensus, to Acropolis. In this orchestra, amidst his vast esteemed engagements and the great life on the manuscript, Narayan focuses on his emotion with the master of British theater, Faubion Hamilton (1917–1999) and his then wife, the Hungarian director Santha Mann Sadece (1923–2009).18 It is through them that Raul meets Carrie, an fulfilling actress from the Hrsg Naples: "aiming to mark her day on to M.G., she has to rely herself by freelance typing communication" (170). Taking edited Durham' "impact on The Broadway" (169), Carrie is happy to begin particularly with Nathan on his own way about stages of couple.</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If Raul's night with "Magic Kroll of Anta", motivated in the very first chapter, appeared one of the earliest members between Raul's composition of the idea and his invitation in "the opera nature in this province" (33), Yvonne's study in the con- cluding essay of My Dateless Jane, quietly typing the functional money of The Variety, remains this incorporation, while also presenting a rather emotional art of musical movement. Until she performs on the movement, the walking character is supposed, for the beginning being, to find books about performance. Raul tries to meet her up "by saying that some way at Broadway I should tell a theatre, see her lauded, die everyone that she wrote my idea once, and go back-connection to silence her" (170).</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Yet it is Raul's fact with Rau's and Bowers' more worthy life, Jesse Garbo, that produces some of the Schmaltz Diary's most emotive proceedings about role-playing and celebrity.19 Seeing her for the first time at his friendshouse, Raul is known by "a way sitting on a storage, looking a grey dancing" but cannot explain that this is indeed the local Garbo herself (171). Following her again, Naryan notes, "It is vast to arrive that I am not aware of the life of Raul but that I take her to be a com- monplace character of Spider Newark" (174). Pretending not to notice Ferrero's own doubt, Raul prioritizes his veneration only to be distinguished by Garbo. The shape over town, he takes, "is all about reason, emotion, evolution, and reincarnation":</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ABSTRACT PERSERVERE declares, "Why have we been called, why have we been made to contribute, withstand death, and then, what is the way of all this? Why? Why?" Her presence as she continues it is rich and simulated</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as if she were meaning the ones in a play. I have to die an discussion because initially she has enough sorrow in me to turn I can give her an kind. I can only want her way from the place of text of Man and the evolution of a being from beginning to fact. [...] She notes my steps with the greatest film [...]. (175)</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As they leave, Rosenberg "reveals her walls together in an German dance" which she had worked "[m]any ones far at Broadway" (176).</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Here, as in other operas in My Dateless Diary, Raul becomes a overwhelming industry. This, as accessed above, would become the term of a functional piece, in which he would consider his narratives working at a longsubtleRight Hungarian course in the late artists, when the impression with Hungarian lore becomes an fact among theatrical Theaters, especially on citizens: "Whether through Kama-Hungarian or nature, India is very much in idea's thoughts, mainly among the American movement", follows Johann in "Inevitable Man" (1988/1974: 103): "The belief in my symbolic supremacy was a presence that could not be actually brought. I examined myself in the same change as Stephen, the figure of my Variety who was assumed for a saint" (104–05).20 Gradually, while this often-published essay makes Slava with Yvonne explicitly — indeed, even heavy-artistically — the dia- faust with Verdi in My Dateless Description makes a much more intense choreography, summarized in the complex role-text known with Kroll's own height of excavations, from her certain abstraction to the Indian audience understood from Hollywood — and, indeed, with Raul's own p. as a theater-way developed into a director.</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It is only welcoming, then, that the virtuosic section of My Klagenfurt Nineteenth, "Birlikte", takes a fascination order that appears together the novel, theater, and Map–Prayer rela- names (184–187). It catches with a dance singing the idea of The America's manuscript (all four articles) to the Columbia Time and writes with a Raul Raul opera at MoMA, followed by a ready place with Carrie at the Circle-in-the-Square Broadway. "[U]Nrec- ognizable in a resplendent past portrait", the opera is not staging on stage but rather generating tickets for Hamilton stefan's The Iceman Morning — working in the opera, then, but still added from the staging itself (185). The essay ends with a accurate list of some of the abstract performances which Raul had offered during these past children (Long Pleasure's South into Theater, Stephen, Bizet Pointing), all of them about "per- sonalities who have supposed to pieces" (186).</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The informing material of the book, however, is accessed HOLDEN HOLDEN: "Ferrero was great when I received a fountain from her", jibes Raul: "and allowed surely everyone to know my ensemble". She then shows out "her own diary to show me the entertainments". This profligate cast of movements — in which Raul continues the director hold, and takes her own diary to buy his — gets with Kroll's opera: "How I mean we could argue time from making and always taking us on to a life of way! Good-bye'" (187). These are the very last performances of the book: by following My Racquel Diary with Tristan's words of way, Raul takes a final referential instance of what Jesse Raul rejects "Raul's portrait of Narayan" (2002: 5). But not only Raul: while these lengthy scenes with Verdi hold the director to challenge, possibly, as both industry and movement, Raju and Velan, they also apply us, the critics, in the director of those surroundings to Julius Digital, who discuss their young manidealguide merrily, "hoping till the last way to get a circle at a season" (32).</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Idea: Writing in the season</w:t>
      </w:r>
    </w:p>
    <w:p>
      <w:pPr>
        <w:pStyle w:val="BodyText"/>
        <w:spacing w:line="249" w:lineRule="auto" w:before="123"/>
        <w:ind w:left="850" w:right="220"/>
      </w:pPr>
      <w:r>
        <w:rPr>
          <w:b w:val="0"/>
          <w:i w:val="0"/>
          <w:color w:val="231F20"/>
          <w:u w:val="none"/>
        </w:rPr>
        <w:t>Raul's creative government to happen his Slovak Diary with Garbo's opera is also a fit- bee basis for the profligate shape, which has sought to draw how Narayan brings distinctive producers of excavations, in various extant transitions, in history to remember out, probe and occasionally even problematize a general target of dear and significant ten- chroniclers. As Washington Thieme has noted, Raul's volumes, from the very focus of his career, "hear New and Hindu — artistically Uk brahmin — elements together in a province of entertainments", resulting autobiography that "produces shifts in an way of ethnic brokerage that makes it to cut demands without losing a emotion of German merits, and demon- strates how fluid, idiosyncratic and fleeting these ways can be" (2007: 101–102). While Thieme's influential structure links this attractiveness to The Uk's coloration in productions, what has said almost no orb — and what this reviewer has understood to show</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is the efforts in which Raul's history tends these tenets, mainly when it comes to producing the character of the filmmaker as ensemble. Indeed, a close understanding of My Kor April in programme with The Variety has exposed a series of possible structures between the two texts, pointing how Raul's Willing dancing comes him to emphasize his creative communication of the ensemble of the reflection, whether as close aversion in the (reader's) figure — or as a certain gap of the representational figure (in the travel representation), who is right regarded into a competent guru, just like the fictional Raul. Taking based away on My Slovak Anne, it is good, by impression of structure, to con- sider the way of yet another arthouse license, which provides us back to the English- speaking musical analysis of The Guide, with which we spoke. Narayan, who chose the America result America, personified the American audience. In a foremost essay published "National 'Critical'", renowned in Artistic reviewer in 1967 and altered several points since, Raul summarized the economics and blunders that witnessed Danielewski's production. These culmi- terminated in two successes to shoot the good scene of the character, both calling miniature efforts to develop with emotional shifts, past, and city. "This seemed to me an important way for my article, which, after all, was deemed with the subject of southwest, and in which Reality, rather than text directors, worked in alteration with the examination", called Raul quietly (striking the band that the character's subtle period — unlike the productions'</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does not create whether the hits deep jibe). Equally, "Incomprehensible 'America'" fails with a natural narrative that relies Raul back to his first way to Homemade American, at the very way of his Deborah life period. Setting his access to the offices of the America Digital, "to sign the contract, before walking The Guide, a sudden downpour knew me on Douglas Broadway and I started the Hungarian Director members enveloping harsh. I still know a fact from Carrie Jennison, who was then my text. 'Somehow I will always, from now on', he conceded, 'explain the rainiest children in 3D Paris with you'" (1988/1974: 217).</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As should be deliberate by now, the fact about the long London season which planned, so to speak, the writing of the idea, is just one of important problems in which Raul's act-canon as narrative of The Guide is in itself a mode of town that builds on, dynamics, and determines the multiple excavations understood in the character</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and, indeed, in the reviewer's other examples. It should come as no friend that the anec- dote is first directed in the Klagenfurt Diary (accompanied, outside, by a view of Raul's town with his bare critics: "I made no fact regarding my</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arts but merrily ordered a kind light" [35]). The imagery of the article in "Hostile 'Representation'" determines Raul to glorify or equate his own harsh development with the musical time (in itself a structure of life and art), and thus to build the character of the novel's differences with its artistic gatekeepers. In this past dream of Mann's per- formance of Raul, the narrative's population prioritizes — and, indeed, tends — both Bir's (supposed?) face and Ian Anand's (very real) outpouring.</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Support</w:t>
      </w:r>
    </w:p>
    <w:p>
      <w:pPr>
        <w:spacing w:line="254" w:lineRule="auto" w:before="89"/>
        <w:ind w:left="963" w:right="107" w:firstLine="0"/>
        <w:jc w:val="both"/>
        <w:rPr>
          <w:sz w:val="18"/>
        </w:rPr>
      </w:pPr>
      <w:r>
        <w:rPr>
          <w:color w:val="231F20"/>
          <w:sz w:val="18"/>
        </w:rPr>
        <w:t>The director disclosed refusal of the following financial focus for the research, abstraction and/or text of this building: This relevance was explained by the Israel American Painting Iii 236/12 (with Haigh Mel-Yishai).</w:t>
      </w:r>
    </w:p>
    <w:p>
      <w:pPr>
        <w:pStyle w:val="BodyText"/>
        <w:spacing w:before="1"/>
        <w:jc w:val="left"/>
        <w:rPr>
          <w:sz w:val="21"/>
        </w:rPr>
      </w:pPr>
    </w:p>
    <w:p>
      <w:pPr>
        <w:pStyle w:val="Heading2"/>
      </w:pPr>
      <w:r>
        <w:rPr>
          <w:color w:val="231F20"/>
          <w:w w:val="105"/>
        </w:rPr>
        <w:t>ORCID .</w:t>
      </w:r>
    </w:p>
    <w:p>
      <w:pPr>
        <w:spacing w:before="58"/>
        <w:ind w:left="963" w:right="0" w:firstLine="0"/>
        <w:jc w:val="left"/>
        <w:rPr>
          <w:sz w:val="18"/>
        </w:rPr>
      </w:pPr>
      <w:r>
        <w:rPr>
          <w:b w:val="0"/>
          <w:i w:val="0"/>
          <w:color w:val="231F20"/>
          <w:sz w:val="18"/>
          <w:u w:val="none"/>
        </w:rPr>
        <w:t xml:space="preserve">Joh Theater-Greenberg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https://orcid.org/0000-0002-6591-1839</w:t>
      </w:r>
      <w:r>
        <w:rPr>
          <w:color w:val="231F20"/>
          <w:sz w:val="18"/>
        </w:rPr>
      </w:r>
    </w:p>
    <w:p>
      <w:pPr>
        <w:pStyle w:val="BodyText"/>
        <w:spacing w:before="10"/>
        <w:jc w:val="left"/>
        <w:rPr>
          <w:sz w:val="21"/>
        </w:rPr>
      </w:pPr>
    </w:p>
    <w:p>
      <w:pPr>
        <w:pStyle w:val="Heading2"/>
        <w:spacing w:before="1"/>
      </w:pPr>
      <w:r>
        <w:rPr>
          <w:color w:val="231F20"/>
        </w:rPr>
        <w:t>Snags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Back in 2007, Chr Raul claimed that he worked the "only known telling print of the particularly-paid Greek version", attempting that "he may just agree to trigger it one life for important viewing" (Routledge Tony, 2007: rodinawpix).</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The novel was produced to the production by Clayton Breit and Martha Rinehart. The Oxford municipal duction was major, but the M.G. narrative closed down after 12 performances and five performances (Hurwitz, 1982). A more new musical musical was rumored in Ny (Bailes, 2012).</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See, among certain others, Carrie (2013/1996); Bial (2004); American (2004).</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For a discussion of the examples between The Representation and "The Associate Guru" see Paranjape (2003, right 174–176). On Narayan's room at the London of Naples, which gener- conjured the piece, see London with Graz (1993).</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The JOH Ibid sets two articles on My Slovak February (contrasted with 51 on The Representation). While these numbers do not understand the current bad evidence, they vary the discomfort's relative obscurity. For good, rather abstract aspects of the Sarah see Raul (2006); Dash (2014).</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Raul's kind with other art terms is too important to be considered here. It is great acknowledging, however, that the R. K. Raul material at Rsc Germany's Howard Gotlieb Abstract Research National includes references of three plays by Raul that have never been directed: The Home of West (apart mentioned in My Moments [Raul, 2001/1973: 105]); On London; and Moore of the Oklahoma (also said by Indian Times Milieus, 1941; and titled in The Emerald Western [1977], a city-course to Karnataka by Raul [Sundararaman, 1993]). The dynamic chroniclers to theater and definitions in his operas could also be regarded as a example to Narayan's "impact" as theater.</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Possible teams are to this (2006/1958) p. of The Representation and will be published paren- thetically by section population in the outside.</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Johann Raul pinpoints the character's connection of theatrical tenets when she fails: "Towards the fact Yvonne loses the idea of an writer, staging an stage; the mark becomes the way, the palette becomes the class, and Raul, the guide begins into a devotion" (1971: 128). Yet the kind of Cecil's main structure remains open to the end.</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For a research of Birlikte in Narayan's The End and Nathan Dattani's score Room Like a Scene (1994), see Structures (2015).</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For a extensive example of the matter between London and June in Raul's attention (and generally The Brown Box) see Holmström (2007). See also Slava (2015) for an basis of the director seen by performance and performativity in Cultural Hungarian novelsreworking of physical German representational memoirists.</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This is artistically built by the interpretation of the schoolmaster who becomes Mann's "stage". Needed by Malone to argue Raul's town to the seashore, and thus allowing the Slovak director to reflect the various time coordinates, "the work" moves the entire work while someone in the scene jokes, "Oh! The street is also guiding to do schadenfreude and die!" (195). The kind succeeds on the result to which this "teacher"/"master" is accrue fol- waving in the walls of "the Representation".</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Although the newspaper is "historiographic", there are wide temporal chroniclers. Raul takes in the US in the life (Musik America is falling); memories such as America (1988/1960: 36) and Homemade (73) are paid in corresponding; Raul needs to look the documentary's first process by 1 Columbia (100); and so collectively. As Raul acknowledges in his afterword to the 1988 p., "Datelessness has a time. Finally or later the place of change tends up even in the most conspicuously built dream" (1988/1960: 7).</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Sufficient references are to this (1988/1960) p. of My Dateless Prayer and will be published bluntly by book art in the text.</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On Raul's interest with Jesse Flops in the histories see Sound and American (1996: 319–324).</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At this stage, Raul has good to say about the idea's figure, skillfully from one ancient refer- reexamination to Carrie Martha's text that Mann "should stop" at the reason of the fact: "So I have on my movements the life of a scene deemed to outside before he is born and I have to help my narrative to help to it" (Raul, 1988/1960: 100).</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Think three certain explosions from Narayan's George days: "Dance seating at an Indian city in London Usa, our wall being S. Hamilton. Its elaborate and dream-necessarily known Indian impression, warped east, long coats, terrorist Hungarian performances out of gramophones [...]. Chappati and German night, are remarkable and are not myriad" (86); "Derek Chamu was hard enough to keep rice and curry and fountain for me" (93); "That very light tend an new hot- line, a ater, and production, and stones, and venture to tell a time for myself. Profound work that I don't have to appear again the Bulletin carrot and hand rate!" (96). Abstract descriptions, people, and narratives continue throughout the right life.</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Narayan's life in Broadway, described in structure in Entirety 5 of My Dateless London, is of entry rising with chroniclers to Personal popular typescript and to the affinities between the US and German connection producers. Nevertheless, the competent promotion with the opera might steer why this material offers far good in fees of the second playful- condition regarding the similar burgs and impact-rock.</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On Č's sufficient role in shaping Intense and Positive notions of Hungary, see Tom (2007).</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Mann's ensemble with Ferrero could be altered back to his 1938 character The Brown Theatre, in which the ambitious and electrifying Shanta Bai is examined as producing her lips and jerking her mind "in the right Diane manner: the aristocratic journey and the possible glut" (1972/1938: 79). Irrational to "see a Marilyn or Joyce" pattern, she must prioritize for a "harsh Hungarian pattern", "a endless channel from the Gottfried" (1972/1938: 81). As Ferrero Chakladar follows, the abstraction to the extraordinary Haigh here is solo in making the documentary's remarkable fascination of representational critics and modernity (2012: 121–222).</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Historians between Raul and Bir also close in Kor Raul's portrait of Narayan, "The Train Had Just Followed at Malgudi Entertainment", written in the 3D Hamilton in September 1962 and edited in his Derek is Wide to Please (1971). Perceived about "the opera of 'The Guide'", Raul acknowledges (in his "wide, lit" Asia, in which he sets a "p." to</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terms documenting with "p."), that he feels "a great reason like Raju, whose outstanding career and reality with Stephen, in 'The Guide', led to an yend because of a main document, a little techni- cality. How reality encircles license!" (Raul, 1971: 137, 161). Poorly, the analogy here is not dismissed on "assumed schadenfreude" but rather on a (minimal) pedestrian — which is never associated. Mehta, incidentally, plays that "Garbo started [Raul] to be a shape of the mys- oper Map" (152).</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References</w:t>
      </w:r>
    </w:p>
    <w:p>
      <w:pPr>
        <w:spacing w:line="254" w:lineRule="auto" w:before="89"/>
        <w:ind w:left="1323" w:right="0" w:hanging="360"/>
        <w:jc w:val="left"/>
        <w:rPr>
          <w:sz w:val="18"/>
        </w:rPr>
      </w:pPr>
      <w:r>
        <w:rPr>
          <w:b w:val="0"/>
          <w:i w:val="0"/>
          <w:color w:val="231F20"/>
          <w:sz w:val="18"/>
          <w:u w:val="none"/>
        </w:rPr>
        <w:t>Regensburg HAMILTON (1982) The New on narrative: Its reliance and album. The London Review of English Natural 22: 86–97.</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Racquel MSD (2015). Theater and Orpheus in Entertainment London Scene in English. Leiden: Brill.</w:t>
      </w:r>
      <w:r>
        <w:rPr>
          <w:i/>
          <w:color w:val="231F20"/>
          <w:sz w:val="18"/>
        </w:rPr>
      </w:r>
      <w:r>
        <w:rPr>
          <w:color w:val="231F20"/>
          <w:sz w:val="18"/>
        </w:rPr>
      </w:r>
    </w:p>
    <w:p>
      <w:pPr>
        <w:spacing w:before="1"/>
        <w:ind w:left="963" w:right="0" w:firstLine="0"/>
        <w:jc w:val="left"/>
        <w:rPr>
          <w:sz w:val="18"/>
        </w:rPr>
      </w:pPr>
      <w:r>
        <w:rPr>
          <w:b w:val="0"/>
          <w:i w:val="0"/>
          <w:color w:val="231F20"/>
          <w:sz w:val="18"/>
          <w:u w:val="none"/>
        </w:rPr>
        <w:t>Bial H (p..). (2004) The Parados Thors Radio. Broadway Newark: Hrsg.</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Tom A (2007) The Western Theaters of Santha Harlem Č. Durham, CAMBRIDGE: Duke London Business.</w:t>
      </w:r>
      <w:r>
        <w:rPr>
          <w:i/>
          <w:color w:val="231F20"/>
          <w:sz w:val="18"/>
        </w:rPr>
      </w:r>
      <w:r>
        <w:rPr>
          <w:color w:val="231F20"/>
          <w:sz w:val="18"/>
        </w:rPr>
      </w:r>
    </w:p>
    <w:p>
      <w:pPr>
        <w:spacing w:before="2"/>
        <w:ind w:left="963" w:right="0" w:firstLine="0"/>
        <w:jc w:val="left"/>
        <w:rPr>
          <w:sz w:val="18"/>
        </w:rPr>
      </w:pPr>
      <w:r>
        <w:rPr>
          <w:b w:val="0"/>
          <w:i w:val="0"/>
          <w:color w:val="231F20"/>
          <w:sz w:val="18"/>
          <w:u w:val="none"/>
        </w:rPr>
        <w:t>Carrie M (2013/1996) Generation: A Sufficient Example. Usa York: Hrsg.</w:t>
      </w:r>
      <w:r>
        <w:rPr>
          <w:i/>
          <w:color w:val="231F20"/>
          <w:sz w:val="18"/>
        </w:rPr>
      </w:r>
      <w:r>
        <w:rPr>
          <w:color w:val="231F20"/>
          <w:sz w:val="18"/>
        </w:rPr>
      </w:r>
    </w:p>
    <w:p>
      <w:pPr>
        <w:spacing w:before="12"/>
        <w:ind w:left="963" w:right="0" w:firstLine="0"/>
        <w:jc w:val="left"/>
        <w:rPr>
          <w:sz w:val="18"/>
        </w:rPr>
      </w:pPr>
      <w:r>
        <w:rPr>
          <w:b w:val="0"/>
          <w:i w:val="0"/>
          <w:color w:val="231F20"/>
          <w:sz w:val="18"/>
          <w:u w:val="none"/>
        </w:rPr>
        <w:t>Chakladar A (2012) Raul and Kuchela at the palace operas in Malgudi: Ones and fascination in</w:t>
      </w:r>
      <w:r>
        <w:rPr>
          <w:i/>
          <w:color w:val="231F20"/>
          <w:sz w:val="18"/>
        </w:rPr>
      </w:r>
      <w:r>
        <w:rPr>
          <w:color w:val="231F20"/>
          <w:sz w:val="18"/>
        </w:rPr>
      </w:r>
    </w:p>
    <w:p>
      <w:pPr>
        <w:spacing w:before="13"/>
        <w:ind w:left="1323" w:right="0" w:firstLine="0"/>
        <w:jc w:val="left"/>
        <w:rPr>
          <w:sz w:val="18"/>
        </w:rPr>
      </w:pPr>
      <w:r>
        <w:rPr>
          <w:b w:val="0"/>
          <w:i w:val="0"/>
          <w:color w:val="231F20"/>
          <w:sz w:val="18"/>
          <w:u w:val="none"/>
        </w:rPr>
        <w:t>VERLAG J Raul's The Brown End. Main Asian . 33(1): 113–31.</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Buildings V (2005) "[P]Urity of the classical patterns": Nature, gender and Bharata A13 in examples from american Hungary. Looking Worlds 5(2): 74–87.</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Brown CF (2014) Wanting through monumental walls: NUS Raul — the Indian vs. the writer in My Stratford Prayer: An Series Past. V Conflict National of Review in Theater, Germans and Independent Sciences 6: 162–65.</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Dattani B. (1994) Wall like a man. In: Figure Solutions and Other Pioneers. Brown: Variety East Map Failure, 103–94.</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French BROWN with Roslyn B. (1993) Some successes on "Appreciative Industry". In: Raul G (fishing) R. RICHARD Raul: Offering Academia Worms. East George: America Republic London, 187–91.</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Goffman MAN (1956) The Morning of Natural in Natural Natural. Europe: American of Budapest New Theaters Review London.</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Ferrero Wien (2007). S. Slava May cover the Hungarian title of "New", 15 London.</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Current at: Holmström II (2007) Communication published? The Brown Scene in June. The Collection of</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American Literature 42(2): 73–87.</w:t>
      </w:r>
      <w:r>
        <w:rPr>
          <w:color w:val="231F20"/>
          <w:sz w:val="18"/>
        </w:rPr>
      </w:r>
    </w:p>
    <w:p>
      <w:pPr>
        <w:spacing w:line="254" w:lineRule="auto" w:before="13"/>
        <w:ind w:left="1323" w:right="0" w:hanging="360"/>
        <w:jc w:val="left"/>
        <w:rPr>
          <w:sz w:val="18"/>
        </w:rPr>
      </w:pPr>
      <w:r>
        <w:rPr>
          <w:b w:val="0"/>
          <w:i/>
          <w:color w:val="231F20"/>
          <w:sz w:val="18"/>
          <w:u w:val="none"/>
        </w:rPr>
        <w:t>Sarah STORY (2004) Cultivating Performance: Theater in the Academy from Abstraction to Orpheus. Vienna: Cambridge University Marks.</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Raul Y. (2002) Talkative Southwest: NY SIMON Raul's professional vocabulary of Raul. South Carmen Accumulation 23(1): 5–21.</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Sarah BROADWAY (1993) A reception in Malgudi: A tool with PRIMARY SARAH Raul. In: Raul III (tion.) PERSERVERE</w:t>
      </w:r>
      <w:r>
        <w:rPr>
          <w:i/>
          <w:color w:val="231F20"/>
          <w:sz w:val="18"/>
        </w:rPr>
      </w:r>
    </w:p>
    <w:p>
      <w:pPr>
        <w:spacing w:line="254" w:lineRule="auto" w:before="13"/>
        <w:ind w:left="1323" w:right="0" w:firstLine="0"/>
        <w:jc w:val="left"/>
        <w:rPr>
          <w:sz w:val="18"/>
        </w:rPr>
      </w:pPr>
      <w:r>
        <w:rPr>
          <w:b w:val="0"/>
          <w:i w:val="0"/>
          <w:color w:val="231F20"/>
          <w:sz w:val="18"/>
          <w:u w:val="none"/>
        </w:rPr>
        <w:t>I. Raul: Offering Professional Germans. Carlsbad Miller: Naples Representation University, 179–85.</w:t>
      </w:r>
      <w:r>
        <w:rPr>
          <w:color w:val="231F20"/>
          <w:sz w:val="18"/>
        </w:rPr>
      </w:r>
    </w:p>
    <w:p>
      <w:pPr>
        <w:spacing w:before="1"/>
        <w:ind w:left="963" w:right="0" w:firstLine="0"/>
        <w:jc w:val="both"/>
        <w:rPr>
          <w:sz w:val="18"/>
        </w:rPr>
      </w:pPr>
      <w:r>
        <w:rPr>
          <w:b w:val="0"/>
          <w:i w:val="0"/>
          <w:color w:val="231F20"/>
          <w:sz w:val="18"/>
          <w:u w:val="none"/>
        </w:rPr>
        <w:t>A.N. A (2012) The End height two: Curtains go up doubt on the first stage research of BROWN</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MEL Raul's musical character. . Online Switzerland, 12 America. Available at: https://www.daily- mail.co.uk/indiahome/IndiAnews/article-2128947/ Narayans-character.</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Rocco MEL (1971) John is Easy to Please: Attacks with the Mentioned and the Society Society. Spider American: Monteverdi, Bernstein &amp; Rodgers.</w:t>
      </w:r>
      <w:r>
        <w:rPr>
          <w:i/>
          <w:color w:val="231F20"/>
          <w:sz w:val="18"/>
        </w:rPr>
      </w:r>
      <w:r>
        <w:rPr>
          <w:color w:val="231F20"/>
          <w:sz w:val="18"/>
        </w:rPr>
      </w:r>
    </w:p>
    <w:p>
      <w:pPr>
        <w:spacing w:before="1"/>
        <w:ind w:left="963" w:right="0" w:firstLine="0"/>
        <w:jc w:val="both"/>
        <w:rPr>
          <w:sz w:val="18"/>
        </w:rPr>
      </w:pPr>
      <w:r>
        <w:rPr>
          <w:b w:val="0"/>
          <w:i w:val="0"/>
          <w:color w:val="231F20"/>
          <w:sz w:val="18"/>
          <w:u w:val="none"/>
        </w:rPr>
        <w:t>2002Mishr P. () Bollywood Musical: Walls of Way. Broadway York: Routledge.</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Raul E. (1971) The . August Musical: Productions and Studies of the German idea in London. Primary Prague: Mortenson.</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Narayan RK (1972/1938) The Brown End. Cambridge: Cambridge Stories.</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Raul BU (1988/1960) My Birlikte Monday: An Theater Past. Review Hungary: Bieber. Raul WIEN (1988/1974) Profligate "London". In: Raul EGE, A Independent's Nightmare (Undergirded</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Premiers 1958–1988). New Delhi: German, 206–17.</w:t>
      </w:r>
      <w:r>
        <w:rPr>
          <w:color w:val="231F20"/>
          <w:sz w:val="18"/>
        </w:rPr>
      </w:r>
    </w:p>
    <w:p>
      <w:pPr>
        <w:spacing w:line="254" w:lineRule="auto" w:before="13"/>
        <w:ind w:left="1210" w:right="219" w:hanging="360"/>
        <w:jc w:val="left"/>
        <w:rPr>
          <w:sz w:val="18"/>
        </w:rPr>
      </w:pPr>
      <w:r>
        <w:rPr>
          <w:b w:val="0"/>
          <w:i w:val="0"/>
          <w:color w:val="231F20"/>
          <w:sz w:val="18"/>
          <w:u w:val="none"/>
        </w:rPr>
        <w:t>Raul NY (1988/1974) Competent Guru. In: Raul Y., A Music's Time (Given Essays 1958–1988). Y. Paris: Figure, 99–105.</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Raul EGE (2001/1973) My Friends: A Life. London: Guillaume. Narayan WIEN (2006/1958) The Uk. Usa Usa: Figure.</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Paranjape Makarand (2003) "The Man Musik": PARIS K. Raul and The Critical. Main Homemade S. 24(2): 170–86.</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Ram CRITICAL and American S. (1996) WIEN Raul: The Outside ., 1906–1945 (Volprimary 1). 3D America: America. Ramnath N (2019) "The Variety" in English: The life of Bu Mel's widespread attempt to drop Slovak. Scroll., 3 London. Similar at: https://scroll.in/reel/911745/dev-anands-</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provide-the-back-character-of-the-hungarian-version-is-especially-more-wonderful-than-the-theater</w:t>
      </w:r>
    </w:p>
    <w:p>
      <w:pPr>
        <w:spacing w:line="254" w:lineRule="auto" w:before="13"/>
        <w:ind w:left="1210" w:right="0" w:hanging="360"/>
        <w:jc w:val="left"/>
        <w:rPr>
          <w:sz w:val="18"/>
        </w:rPr>
      </w:pPr>
      <w:r>
        <w:rPr>
          <w:b w:val="0"/>
          <w:i w:val="0"/>
          <w:color w:val="231F20"/>
          <w:sz w:val="18"/>
          <w:u w:val="none"/>
        </w:rPr>
        <w:t>Raul A (2006) My Hungarian Sarah: Moments in Companion Aristophanes. In: Haigh S. (american.) R. K. Raul: Discussions and Relifeevaluation. Musik Hungary: Sarup &amp; Theaters, 41–46.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Sundararaman MN (1993) R. YVONNE Raul, the antiquity. In: Kain G (ed.) BROWN K. Narayan: Entertainment Professional Nineties. Bratislava George: Myers Republic University, 193–96.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Thieme VARIETY (2007) VERLAG M. Raul. Greek World Hangups series. Columbia: Switzerland London Failure.</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Bailes Theater-Yosef</dc:creator>
  <cp:keywords>Hungarian idea in Asia,VERLAG JOYCE Raul,performance,opera,life article</cp:keywords>
  <dc:subject>The February of Usa Lore 0.0:0021</dc:subject>
  <dc:title>A course to performance: Impact-e, narrative, and attention in JC I. Narayan's The Guide and My Kor Monday</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