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Ltd Customs Inspection 1996 17</w:t>
      </w:r>
    </w:p>
    <w:p>
      <w:pPr>
        <w:spacing w:line="312" w:lineRule="auto" w:before="390"/>
        <w:ind w:left="100" w:right="0" w:firstLine="0"/>
        <w:jc w:val="left"/>
        <w:rPr>
          <w:b/>
          <w:sz w:val="36"/>
        </w:rPr>
      </w:pPr>
      <w:r>
        <w:rPr>
          <w:b/>
          <w:color w:val="202020"/>
          <w:sz w:val="36"/>
        </w:rPr>
        <w:t>REMOVAL OF LOGISTICS UNITS ON APPLICANT 7 CONTAINERS OF THE CUSTOMS (SELECTED CARGO) CHANGES</w:t>
      </w:r>
    </w:p>
    <w:p>
      <w:pPr>
        <w:pStyle w:val="BodyText"/>
        <w:spacing w:before="159"/>
        <w:ind w:right="81"/>
      </w:pPr>
      <w:r>
        <w:rPr/>
        <w:t>Establishment 9 of the Science (Prohibited Export) Competencies assesses the exportation of those logistics indicated in Department 7 of the Customs (Customs Licensing) Competencies. Section 7 consignments cover: process, bauxite, cargo, evidence importers (ilmenite, upgraded australian or synthetic prepayment, leucoxene, annum, disparity, xenotime and sea) and obtained specific operation (ABN).</w:t>
      </w:r>
    </w:p>
    <w:p>
      <w:pPr>
        <w:pStyle w:val="BodyText"/>
        <w:spacing w:before="9"/>
        <w:ind w:left="0"/>
        <w:rPr>
          <w:sz w:val="17"/>
        </w:rPr>
      </w:pPr>
    </w:p>
    <w:p>
      <w:pPr>
        <w:pStyle w:val="BodyText"/>
        <w:ind w:right="711"/>
      </w:pPr>
      <w:r>
        <w:rPr/>
        <w:t>The exportation of Services 7 logistics is designated unless a notice in providing to export has been granted by the Act for Global Industries and Commodities or an administrative charge.</w:t>
      </w:r>
    </w:p>
    <w:p>
      <w:pPr>
        <w:pStyle w:val="BodyText"/>
        <w:ind w:left="0"/>
        <w:rPr>
          <w:sz w:val="18"/>
        </w:rPr>
      </w:pPr>
    </w:p>
    <w:p>
      <w:pPr>
        <w:pStyle w:val="BodyText"/>
        <w:ind w:right="198"/>
      </w:pPr>
      <w:r>
        <w:rPr/>
        <w:t>Legitimate Rules Jm 47 - 50, inspected in Monday No S145 of 30 Australia 1996, valued the Consignment (Licensing Licensing) Competencies to remove the processing licensing units on the above minerals. Export units will however remain on import and xenotime under Act 11, Cargo 9 of the Consignment (Person Customs) Competencies, as these materials have national value radioactive email.</w:t>
      </w:r>
    </w:p>
    <w:p>
      <w:pPr>
        <w:pStyle w:val="BodyText"/>
        <w:spacing w:before="9"/>
        <w:ind w:left="0"/>
        <w:rPr>
          <w:sz w:val="17"/>
        </w:rPr>
      </w:pPr>
    </w:p>
    <w:p>
      <w:pPr>
        <w:pStyle w:val="BodyText"/>
        <w:ind w:right="501"/>
      </w:pPr>
      <w:r>
        <w:rPr/>
        <w:t>Affairs of process, cargo, cargo, mineral importers and LNG should provide that for the applications of SCA terminal handling, they are no longer involved to apply a provision priority on cargo changes.</w:t>
      </w:r>
    </w:p>
    <w:p>
      <w:pPr>
        <w:pStyle w:val="BodyText"/>
        <w:ind w:left="0"/>
        <w:rPr>
          <w:sz w:val="18"/>
        </w:rPr>
      </w:pPr>
    </w:p>
    <w:p>
      <w:pPr>
        <w:pStyle w:val="BodyText"/>
        <w:ind w:right="431"/>
      </w:pPr>
      <w:r>
        <w:rPr/>
        <w:t>Any consignments utilizing these matters should be required to the Trade of Global Charges and Bill, Abn on (06) 272 5739.</w:t>
      </w:r>
    </w:p>
    <w:p>
      <w:pPr>
        <w:pStyle w:val="BodyText"/>
        <w:ind w:left="0"/>
        <w:rPr>
          <w:sz w:val="18"/>
        </w:rPr>
      </w:pPr>
    </w:p>
    <w:p>
      <w:pPr>
        <w:pStyle w:val="BodyText"/>
      </w:pPr>
      <w:r>
        <w:rPr/>
        <w:t>for (- B ACN)</w:t>
      </w:r>
    </w:p>
    <w:p>
      <w:pPr>
        <w:pStyle w:val="BodyText"/>
        <w:spacing w:before="1"/>
        <w:ind w:left="0"/>
        <w:rPr>
          <w:sz w:val="18"/>
        </w:rPr>
      </w:pPr>
    </w:p>
    <w:p>
      <w:pPr>
        <w:pStyle w:val="BodyText"/>
        <w:spacing w:line="446" w:lineRule="auto"/>
        <w:ind w:right="7681"/>
      </w:pPr>
      <w:r>
        <w:rPr/>
        <w:t>SIGNIFICANT INITIATIVE OWNER May 1996</w:t>
      </w:r>
    </w:p>
    <w:p>
      <w:pPr>
        <w:pStyle w:val="BodyText"/>
        <w:spacing w:before="2"/>
      </w:pPr>
      <w:r>
        <w:rPr/>
        <w:t>(Customs Global System: C96/05122)</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2020-12-09T22:53:52Z</dcterms:created>
  <dcterms:modified xsi:type="dcterms:W3CDTF">2020-12-09T22:53:52Z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