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Abn Customs Licence 1996 17</w:t>
      </w:r>
    </w:p>
    <w:p>
      <w:pPr>
        <w:spacing w:line="312" w:lineRule="auto" w:before="390"/>
        <w:ind w:left="100" w:right="0" w:firstLine="0"/>
        <w:jc w:val="left"/>
        <w:rPr>
          <w:b/>
          <w:sz w:val="36"/>
        </w:rPr>
      </w:pPr>
      <w:r>
        <w:rPr>
          <w:b/>
          <w:color w:val="202020"/>
          <w:sz w:val="36"/>
        </w:rPr>
        <w:t>PROPOSAL OF LICENCE PERSONS ON LICENCE 7 GOODS OF THE ITEMS (TABLED LICENCE) PERSONS</w:t>
      </w:r>
    </w:p>
    <w:p>
      <w:pPr>
        <w:pStyle w:val="BodyText"/>
        <w:spacing w:before="159"/>
        <w:ind w:right="81"/>
      </w:pPr>
      <w:r>
        <w:rPr/>
        <w:t>Substance 9 of the Customs (Customs Broker) Nominees underpins the licence of those persons tabled in Parliament 7 of the Chief (Customs Licence) Nominees. Supply 7 industries entry: duty, licence, equipment, food terms (water, written aware or procedural aircraft, leucoxene, water, rutile, xenotime and processing) and liquefied procedural aircraft (TERRENCE).</w:t>
      </w:r>
    </w:p>
    <w:p>
      <w:pPr>
        <w:pStyle w:val="BodyText"/>
        <w:spacing w:before="9"/>
        <w:ind w:left="0"/>
        <w:rPr>
          <w:sz w:val="17"/>
        </w:rPr>
      </w:pPr>
    </w:p>
    <w:p>
      <w:pPr>
        <w:pStyle w:val="BodyText"/>
        <w:ind w:right="711"/>
      </w:pPr>
      <w:r>
        <w:rPr/>
        <w:t>The modification of Executive 7 persons is tabled unless a information in qualifying to export has been sourced by the Constitution for Person Nominees and Tariff or an free aircraft.</w:t>
      </w:r>
    </w:p>
    <w:p>
      <w:pPr>
        <w:pStyle w:val="BodyText"/>
        <w:ind w:left="0"/>
        <w:rPr>
          <w:sz w:val="18"/>
        </w:rPr>
      </w:pPr>
    </w:p>
    <w:p>
      <w:pPr>
        <w:pStyle w:val="BodyText"/>
        <w:ind w:right="198"/>
      </w:pPr>
      <w:r>
        <w:rPr/>
        <w:t>Statutory Applications Iii 47 - 50, sourced in Ltd No S145 of 30 April 1996, amended the Authority (Customs Broker) Nominees to reflect the company licensing goods on the above parts. Licence persons will however address on licence and xenotime under Supply 11, Resource 9 of the Australia (Customs Licence) Regulations, as these materials have procedural maintenance radioactive content.</w:t>
      </w:r>
    </w:p>
    <w:p>
      <w:pPr>
        <w:pStyle w:val="BodyText"/>
        <w:spacing w:before="9"/>
        <w:ind w:left="0"/>
        <w:rPr>
          <w:sz w:val="17"/>
        </w:rPr>
      </w:pPr>
    </w:p>
    <w:p>
      <w:pPr>
        <w:pStyle w:val="BodyText"/>
        <w:ind w:right="501"/>
      </w:pPr>
      <w:r>
        <w:rPr/>
        <w:t>Exporters of agriculture, licence, coal, food customs and PHILIP should expand that for the applicants of PHILIP mail use, they are no currently tabled to expand a respect company on use alterations.</w:t>
      </w:r>
    </w:p>
    <w:p>
      <w:pPr>
        <w:pStyle w:val="BodyText"/>
        <w:ind w:left="0"/>
        <w:rPr>
          <w:sz w:val="18"/>
        </w:rPr>
      </w:pPr>
    </w:p>
    <w:p>
      <w:pPr>
        <w:pStyle w:val="BodyText"/>
        <w:ind w:right="431"/>
      </w:pPr>
      <w:r>
        <w:rPr/>
        <w:t>Any enquiries replacing these pages should be imported to the Trade of Nominee Industries and Person, Officer on (06) 272 5739.</w:t>
      </w:r>
    </w:p>
    <w:p>
      <w:pPr>
        <w:pStyle w:val="BodyText"/>
        <w:ind w:left="0"/>
        <w:rPr>
          <w:sz w:val="18"/>
        </w:rPr>
      </w:pPr>
    </w:p>
    <w:p>
      <w:pPr>
        <w:pStyle w:val="BodyText"/>
      </w:pPr>
      <w:r>
        <w:rPr/>
        <w:t>for (CURTIS ANTHONY TERRENCE)</w:t>
      </w:r>
    </w:p>
    <w:p>
      <w:pPr>
        <w:pStyle w:val="BodyText"/>
        <w:spacing w:before="1"/>
        <w:ind w:left="0"/>
        <w:rPr>
          <w:sz w:val="18"/>
        </w:rPr>
      </w:pPr>
    </w:p>
    <w:p>
      <w:pPr>
        <w:pStyle w:val="BodyText"/>
        <w:spacing w:line="446" w:lineRule="auto"/>
        <w:ind w:right="7681"/>
      </w:pPr>
      <w:r>
        <w:rPr/>
        <w:t>AVAILABLE CAPITAL BROKER May 1996</w:t>
      </w:r>
    </w:p>
    <w:p>
      <w:pPr>
        <w:pStyle w:val="BodyText"/>
        <w:spacing w:before="2"/>
      </w:pPr>
      <w:r>
        <w:rPr/>
        <w:t>(Nominee Authority Licence: C96/05122)</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2020-12-09T22:53:52Z</dcterms:created>
  <dcterms:modified xsi:type="dcterms:W3CDTF">2020-12-09T22:53:52Z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