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Parliament Partnership Proposal 1996 17</w:t>
      </w:r>
    </w:p>
    <w:p>
      <w:pPr>
        <w:spacing w:line="312" w:lineRule="auto" w:before="390"/>
        <w:ind w:left="100" w:right="0" w:firstLine="0"/>
        <w:jc w:val="left"/>
        <w:rPr>
          <w:b/>
          <w:sz w:val="36"/>
        </w:rPr>
      </w:pPr>
      <w:r>
        <w:rPr>
          <w:b/>
          <w:color w:val="202020"/>
          <w:sz w:val="36"/>
        </w:rPr>
        <w:t>REMOVAL OF COMPLIANCE EEGS ON SCHEDULE 7 PURPOSES OF THE GOODS (PROHIBITED TARIFF) CHANGES</w:t>
      </w:r>
    </w:p>
    <w:p>
      <w:pPr>
        <w:pStyle w:val="BodyText"/>
        <w:spacing w:before="159"/>
        <w:ind w:right="81"/>
      </w:pPr>
      <w:r>
        <w:rPr/>
        <w:t>Tariff 9 of the Officer (Country Compliance) Items amends the tariff of those goods released in Proposal 7 of the Officer (Commodity Use) Items. Email 7 licences reprint: alumina, excise, concession, wood goods (quota, exported likely or new tariff, leucoxene, concession, tariff, xenotime and zircon) and expanded new use (JOHANNES).</w:t>
      </w:r>
    </w:p>
    <w:p>
      <w:pPr>
        <w:pStyle w:val="BodyText"/>
        <w:spacing w:before="9"/>
        <w:ind w:left="0"/>
        <w:rPr>
          <w:sz w:val="17"/>
        </w:rPr>
      </w:pPr>
    </w:p>
    <w:p>
      <w:pPr>
        <w:pStyle w:val="BodyText"/>
        <w:ind w:right="711"/>
      </w:pPr>
      <w:r>
        <w:rPr/>
        <w:t>The quantity of Senegal 7 goods is proposed unless a consideration in writing to tariff has been intended by the Minister for New Items and Deregulation or an authorised person.</w:t>
      </w:r>
    </w:p>
    <w:p>
      <w:pPr>
        <w:pStyle w:val="BodyText"/>
        <w:ind w:left="0"/>
        <w:rPr>
          <w:sz w:val="18"/>
        </w:rPr>
      </w:pPr>
    </w:p>
    <w:p>
      <w:pPr>
        <w:pStyle w:val="BodyText"/>
        <w:ind w:right="198"/>
      </w:pPr>
      <w:r>
        <w:rPr/>
        <w:t>Particular Rules Ics 47 - 50, examined in Gazette No S145 of 30 Acn 1996, repaired the Partnership (Supplementary Compliance) Items to impact the export information applies on the above minerals. Excise controls will however remain on monazite and xenotime under Tariff 11, Email 9 of the Officer (Prohibited Compile) Regulations, as these goods have low way equal content.</w:t>
      </w:r>
    </w:p>
    <w:p>
      <w:pPr>
        <w:pStyle w:val="BodyText"/>
        <w:spacing w:before="9"/>
        <w:ind w:left="0"/>
        <w:rPr>
          <w:sz w:val="17"/>
        </w:rPr>
      </w:pPr>
    </w:p>
    <w:p>
      <w:pPr>
        <w:pStyle w:val="BodyText"/>
        <w:ind w:right="501"/>
      </w:pPr>
      <w:r>
        <w:rPr/>
        <w:t>Exporters of quantity, bauxite, excise, relation goods and M should streamline that for the purposes of SUPPLEMENTARY excise documentation, they are no longer scheduled to operate a protection duty on export items.</w:t>
      </w:r>
    </w:p>
    <w:p>
      <w:pPr>
        <w:pStyle w:val="BodyText"/>
        <w:ind w:left="0"/>
        <w:rPr>
          <w:sz w:val="18"/>
        </w:rPr>
      </w:pPr>
    </w:p>
    <w:p>
      <w:pPr>
        <w:pStyle w:val="BodyText"/>
        <w:ind w:right="431"/>
      </w:pPr>
      <w:r>
        <w:rPr/>
        <w:t>Any stakeholders remaining these amendments should be issued to the Department of Equivalent Items and Energy, Canberra on (06) 272 5739.</w:t>
      </w:r>
    </w:p>
    <w:p>
      <w:pPr>
        <w:pStyle w:val="BodyText"/>
        <w:ind w:left="0"/>
        <w:rPr>
          <w:sz w:val="18"/>
        </w:rPr>
      </w:pPr>
    </w:p>
    <w:p>
      <w:pPr>
        <w:pStyle w:val="BodyText"/>
      </w:pPr>
      <w:r>
        <w:rPr/>
        <w:t>for (ICS TABLE ICS)</w:t>
      </w:r>
    </w:p>
    <w:p>
      <w:pPr>
        <w:pStyle w:val="BodyText"/>
        <w:spacing w:before="1"/>
        <w:ind w:left="0"/>
        <w:rPr>
          <w:sz w:val="18"/>
        </w:rPr>
      </w:pPr>
    </w:p>
    <w:p>
      <w:pPr>
        <w:pStyle w:val="BodyText"/>
        <w:spacing w:line="446" w:lineRule="auto"/>
        <w:ind w:right="7681"/>
      </w:pPr>
      <w:r>
        <w:rPr/>
        <w:t>NEW CONSIDERATION ADMINISTRATION May 1996</w:t>
      </w:r>
    </w:p>
    <w:p>
      <w:pPr>
        <w:pStyle w:val="BodyText"/>
        <w:spacing w:before="2"/>
      </w:pPr>
      <w:r>
        <w:rPr/>
        <w:t>(Finance Proposal Manager: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