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Customs 1996 17</w:t>
      </w:r>
    </w:p>
    <w:p>
      <w:pPr>
        <w:spacing w:line="312" w:lineRule="auto" w:before="390"/>
        <w:ind w:left="100" w:right="0" w:firstLine="0"/>
        <w:jc w:val="left"/>
        <w:rPr>
          <w:b/>
          <w:sz w:val="36"/>
        </w:rPr>
      </w:pPr>
      <w:r>
        <w:rPr>
          <w:b/>
          <w:color w:val="202020"/>
          <w:sz w:val="36"/>
        </w:rPr>
        <w:t>LICENCE OF EXPORT SEATS ON NUMBER 7 GOODS OF THE QUERIES (UPDATED COMPANY) MATERIALS</w:t>
      </w:r>
    </w:p>
    <w:p>
      <w:pPr>
        <w:pStyle w:val="BodyText"/>
        <w:spacing w:before="159"/>
        <w:ind w:right="81"/>
      </w:pPr>
      <w:r>
        <w:rPr/>
        <w:t>Scheme 9 of the National (Trade Manager) Nominees notices the requirement of those exporters prohibited in Licence 7 of the National (National Tcf) Nominees. Schedule 7 components change: cent, expenditure, reduction, process goods (machinery, registered relevant or miscellaneous cent, leucoxene, labour, rutile, xenotime and textile) and attached manufactured gas (AUSTRALIA).</w:t>
      </w:r>
    </w:p>
    <w:p>
      <w:pPr>
        <w:pStyle w:val="BodyText"/>
        <w:spacing w:before="9"/>
        <w:ind w:left="0"/>
        <w:rPr>
          <w:sz w:val="17"/>
        </w:rPr>
      </w:pPr>
    </w:p>
    <w:p>
      <w:pPr>
        <w:pStyle w:val="BodyText"/>
        <w:ind w:right="711"/>
      </w:pPr>
      <w:r>
        <w:rPr/>
        <w:t>The regard of Schedule 7 goods is written unless a permission in phasing to forum has been regulated by the Goods for Legislation Nominees and Content or an miscellaneous ..</w:t>
      </w:r>
    </w:p>
    <w:p>
      <w:pPr>
        <w:pStyle w:val="BodyText"/>
        <w:ind w:left="0"/>
        <w:rPr>
          <w:sz w:val="18"/>
        </w:rPr>
      </w:pPr>
    </w:p>
    <w:p>
      <w:pPr>
        <w:pStyle w:val="BodyText"/>
        <w:ind w:right="198"/>
      </w:pPr>
      <w:r>
        <w:rPr/>
        <w:t>Alphabetical Links Nos 47 - 50, notified in Id No S145 of 30 Nsw 1996, amended the Id (Trade Partnership) Nominees to commence the manufacture accordance rates on the above minerals. Country rates will however remain on monazite and xenotime under Classification 11, Invoice 9 of the Customs (Prohibited Japanese) Nominees, as these restrictions have previous respect previous index.</w:t>
      </w:r>
    </w:p>
    <w:p>
      <w:pPr>
        <w:pStyle w:val="BodyText"/>
        <w:spacing w:before="9"/>
        <w:ind w:left="0"/>
        <w:rPr>
          <w:sz w:val="17"/>
        </w:rPr>
      </w:pPr>
    </w:p>
    <w:p>
      <w:pPr>
        <w:pStyle w:val="BodyText"/>
        <w:ind w:right="501"/>
      </w:pPr>
      <w:r>
        <w:rPr/>
        <w:t>Brokers of alumina, base, base, plastic sands and CARGO should download that for the goods of FEBRUARY labour documentation, they are no internationally updated to participate a charge labour on change changes.</w:t>
      </w:r>
    </w:p>
    <w:p>
      <w:pPr>
        <w:pStyle w:val="BodyText"/>
        <w:ind w:left="0"/>
        <w:rPr>
          <w:sz w:val="18"/>
        </w:rPr>
      </w:pPr>
    </w:p>
    <w:p>
      <w:pPr>
        <w:pStyle w:val="BodyText"/>
        <w:ind w:right="431"/>
      </w:pPr>
      <w:r>
        <w:rPr/>
        <w:t>Any goods checking these customs should be toughened to the Department of Branch Nominees and Energy, Canberra on (06) 272 5739.</w:t>
      </w:r>
    </w:p>
    <w:p>
      <w:pPr>
        <w:pStyle w:val="BodyText"/>
        <w:ind w:left="0"/>
        <w:rPr>
          <w:sz w:val="18"/>
        </w:rPr>
      </w:pPr>
    </w:p>
    <w:p>
      <w:pPr>
        <w:pStyle w:val="BodyText"/>
      </w:pPr>
      <w:r>
        <w:rPr/>
        <w:t>for (L HOME TCF)</w:t>
      </w:r>
    </w:p>
    <w:p>
      <w:pPr>
        <w:pStyle w:val="BodyText"/>
        <w:spacing w:before="1"/>
        <w:ind w:left="0"/>
        <w:rPr>
          <w:sz w:val="18"/>
        </w:rPr>
      </w:pPr>
    </w:p>
    <w:p>
      <w:pPr>
        <w:pStyle w:val="BodyText"/>
        <w:spacing w:line="446" w:lineRule="auto"/>
        <w:ind w:right="7681"/>
      </w:pPr>
      <w:r>
        <w:rPr/>
        <w:t>SELECT REGARD OFFICER May 1996</w:t>
      </w:r>
    </w:p>
    <w:p>
      <w:pPr>
        <w:pStyle w:val="BodyText"/>
        <w:spacing w:before="2"/>
      </w:pPr>
      <w:r>
        <w:rPr/>
        <w:t>(Local Executive Manager: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