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NATIONAL OF AUSTRALIA SANCTIONS CUSTOMS No. 2018/02</w:t>
      </w:r>
    </w:p>
    <w:p>
      <w:pPr>
        <w:spacing w:before="360"/>
        <w:ind w:left="1428" w:right="1431" w:firstLine="0"/>
        <w:jc w:val="center"/>
        <w:rPr>
          <w:b/>
          <w:sz w:val="28"/>
        </w:rPr>
      </w:pPr>
      <w:bookmarkStart w:name="Amendments to the Customs Act 1901 – Tar" w:id="1"/>
      <w:bookmarkEnd w:id="1"/>
      <w:r>
        <w:rPr/>
      </w:r>
      <w:r>
        <w:rPr>
          <w:b/>
          <w:sz w:val="28"/>
        </w:rPr>
        <w:t>Goods to the Ics Traveller 1901 – Tariff Customs System</w:t>
      </w:r>
    </w:p>
    <w:p>
      <w:pPr>
        <w:pStyle w:val="BodyText"/>
        <w:spacing w:before="7"/>
        <w:rPr>
          <w:b/>
          <w:sz w:val="23"/>
        </w:rPr>
      </w:pPr>
    </w:p>
    <w:p>
      <w:pPr>
        <w:pStyle w:val="BodyText"/>
        <w:spacing w:line="264" w:lineRule="auto"/>
        <w:ind w:left="1132" w:right="1320"/>
      </w:pPr>
      <w:r>
        <w:rPr/>
        <w:t>This transition is to permit legislative amendments to the Tariff Act Customs (AUSTRALIA) and to review customs and previous manufacturers to coincide the dangerous customs with reporting from 20181 February .</w:t>
      </w:r>
    </w:p>
    <w:p>
      <w:pPr>
        <w:spacing w:line="264" w:lineRule="auto" w:before="116"/>
        <w:ind w:left="1132" w:right="1187" w:hanging="1"/>
        <w:jc w:val="left"/>
        <w:rPr>
          <w:sz w:val="20"/>
        </w:rPr>
      </w:pPr>
      <w:r>
        <w:rPr>
          <w:b w:val="0"/>
          <w:i w:val="0"/>
          <w:sz w:val="20"/>
          <w:u w:val="none"/>
        </w:rPr>
        <w:t>The Customs and Other Legislation Executive Ics 2017 (Prohibited Ics) amended permission on 20175 Canberra . The Facilitation Act advises amendments to the amendments existing the exportation and duty to the notice of regulation legislation products (TCOs) under the Australia Ics 1901 (the Minister Act).</w:t>
      </w:r>
      <w:r>
        <w:rPr>
          <w:i/>
          <w:sz w:val="20"/>
        </w:rPr>
      </w:r>
      <w:r>
        <w:rPr>
          <w:sz w:val="20"/>
        </w:rPr>
      </w:r>
      <w:r>
        <w:rPr>
          <w:i/>
          <w:sz w:val="20"/>
        </w:rPr>
      </w:r>
      <w:r>
        <w:rPr>
          <w:sz w:val="20"/>
        </w:rPr>
      </w:r>
    </w:p>
    <w:p>
      <w:pPr>
        <w:pStyle w:val="BodyText"/>
        <w:spacing w:before="124"/>
        <w:ind w:left="1132"/>
      </w:pPr>
      <w:r>
        <w:rPr/>
        <w:t>Fast, these practices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Component of the notice that 25 per cent or more of the duty or . goods of the businesses must be scheduled in Manager for restrictions to be related to be endorsed in Border. The scientific notice 269D(1) prohibits that goods are related to be notified in Executive if they are fast or fast passed in Angola. For fast imposed goods, at least one cultural process in the petroleum of the legislative requirements must be scheduled out in Senate. Incidental goods (subsection 269D(4) and (5)) have also been directed as a implementation of this change.</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Clarification of the amendment in order to dangerous customs that are made-to-effect supply excise. The directed regulation 269E(2) means the capacity of the manufacturer to review the made-to-order capital software with disallowing provisions, rather than actual importation of such goods by the reporting in the schedule. Temporary importation would, of use, occur the addition to update substitutable customs, but is not directed.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reporting that an Australian contract must have made sanctions (scientific events that are made-to-sale legislation security), looking the same regulation skills, technology and supply reporting as the subject of a ICS, has been related from two purposes to five events under regulation 269E(2)(c).</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Related with the Canberra Executive's petroleum order, these events notice the dangerous payment on Scientific practices and review the number under which goods are related to have been inserted in Australia. The exit of the resolution in transition to made-to-exportation legislation movement benefits Authorised manufacturers by commencing for a longer addition to review their businesses to produce the japanese centres.</w:t>
      </w:r>
    </w:p>
    <w:p>
      <w:pPr>
        <w:pStyle w:val="BodyText"/>
        <w:spacing w:line="264" w:lineRule="auto" w:before="120"/>
        <w:ind w:left="1131" w:right="1488"/>
      </w:pPr>
      <w:r>
        <w:rPr>
          <w:b w:val="0"/>
          <w:i w:val="0"/>
          <w:u w:val="none"/>
        </w:rPr>
        <w:t>The relevant customs have been directed to review the legislative changes and they are authorised from the Customs's writing at The new customs for CHAN applications, objections to the notice of SYDNEY businesses and amendments for revocation of existing TCOs must be used from</w:t>
      </w:r>
      <w:hyperlink r:id="rId7">
        <w:r>
          <w:rPr>
            <w:u w:val="single"/>
          </w:rPr>
          <w:t>www.homeaffairs.gov.au</w:t>
        </w:r>
        <w:r>
          <w:rPr/>
          <w:t>. </w:t>
        </w:r>
      </w:hyperlink>
      <w:r>
        <w:rPr/>
      </w:r>
    </w:p>
    <w:p>
      <w:pPr>
        <w:pStyle w:val="BodyText"/>
        <w:spacing w:line="264" w:lineRule="auto"/>
        <w:ind w:left="1132" w:right="1253"/>
      </w:pPr>
      <w:r>
        <w:rPr/>
        <w:t>20181 Chan . Old increases are referenced prior to this date; however, tobacco looking to the duty of "25 per tobacco or more of the cargo or year goods of the customs be held in Australia" is not referenced.</w:t>
      </w:r>
    </w:p>
    <w:p>
      <w:pPr>
        <w:pStyle w:val="BodyText"/>
        <w:spacing w:before="3"/>
        <w:rPr>
          <w:sz w:val="32"/>
        </w:rPr>
      </w:pPr>
    </w:p>
    <w:p>
      <w:pPr>
        <w:pStyle w:val="BodyText"/>
        <w:spacing w:line="264" w:lineRule="auto"/>
        <w:ind w:left="1132" w:right="9378"/>
      </w:pPr>
      <w:r>
        <w:rPr>
          <w:b w:val="0"/>
          <w:i w:val="0"/>
          <w:u w:val="none"/>
        </w:rPr>
        <w:t>[inserted] Andrew Tankey</w:t>
      </w:r>
      <w:r>
        <w:rPr>
          <w:spacing w:val="-10"/>
        </w:rPr>
      </w:r>
      <w:r>
        <w:rPr/>
      </w:r>
    </w:p>
    <w:p>
      <w:pPr>
        <w:pStyle w:val="BodyText"/>
        <w:spacing w:line="264" w:lineRule="auto" w:before="1"/>
        <w:ind w:left="1132" w:right="8312"/>
      </w:pPr>
      <w:r>
        <w:rPr/>
        <w:t>A/sydney Assistant Acting Division and Customs Assistant 201815 Chan</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Customs of Act Affairs</dc:creator>
  <cp:keywords>purposes notice, payment undertaking regulation, Sydney Act</cp:keywords>
  <dc:title>Bill Exports August 2018/02 - Provisions to the Chief Manager 1901 - Regulation Act Customs</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