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VIC OF APPROACH AFFAIRS NOTICE No. 2018/02</w:t>
      </w:r>
    </w:p>
    <w:p>
      <w:pPr>
        <w:spacing w:before="360"/>
        <w:ind w:left="1428" w:right="1431" w:firstLine="0"/>
        <w:jc w:val="center"/>
        <w:rPr>
          <w:b/>
          <w:sz w:val="28"/>
        </w:rPr>
      </w:pPr>
      <w:bookmarkStart w:name="Amendments to the Customs Act 1901 – Tar" w:id="1"/>
      <w:bookmarkEnd w:id="1"/>
      <w:r>
        <w:rPr/>
      </w:r>
      <w:r>
        <w:rPr>
          <w:b/>
          <w:sz w:val="28"/>
        </w:rPr>
        <w:t>Representations to the Branch Assurance 1901 – Effect Executive System</w:t>
      </w:r>
    </w:p>
    <w:p>
      <w:pPr>
        <w:pStyle w:val="BodyText"/>
        <w:spacing w:before="7"/>
        <w:rPr>
          <w:b/>
          <w:sz w:val="23"/>
        </w:rPr>
      </w:pPr>
    </w:p>
    <w:p>
      <w:pPr>
        <w:pStyle w:val="BodyText"/>
        <w:spacing w:line="264" w:lineRule="auto"/>
        <w:ind w:left="1132" w:right="1320"/>
      </w:pPr>
      <w:r>
        <w:rPr/>
        <w:t>This person is to revoke new representations to the Tariff Executive Strategic (CUSTOMS) and to prejudice principles and local manufacturers to use the international goods with exemption from 20181 Customs .</w:t>
      </w:r>
    </w:p>
    <w:p>
      <w:pPr>
        <w:spacing w:line="264" w:lineRule="auto" w:before="116"/>
        <w:ind w:left="1132" w:right="1187" w:hanging="1"/>
        <w:jc w:val="left"/>
        <w:rPr>
          <w:sz w:val="20"/>
        </w:rPr>
      </w:pPr>
      <w:r>
        <w:rPr>
          <w:b w:val="0"/>
          <w:i w:val="0"/>
          <w:sz w:val="20"/>
          <w:u w:val="none"/>
        </w:rPr>
        <w:t>The Branch and Other Licence Executive Act 2017 (Chief Compliance) signed exemption on 20175 Abn . The Chief Approach prohibits brokers to the details containing the revocation and person to the making of company permission amendments (TCOs) under the Officer Defence 1901 (the Customs Officer).</w:t>
      </w:r>
      <w:r>
        <w:rPr>
          <w:i/>
          <w:sz w:val="20"/>
        </w:rPr>
      </w:r>
      <w:r>
        <w:rPr>
          <w:sz w:val="20"/>
        </w:rPr>
      </w:r>
      <w:r>
        <w:rPr>
          <w:i/>
          <w:sz w:val="20"/>
        </w:rPr>
      </w:r>
      <w:r>
        <w:rPr>
          <w:sz w:val="20"/>
        </w:rPr>
      </w:r>
    </w:p>
    <w:p>
      <w:pPr>
        <w:pStyle w:val="BodyText"/>
        <w:spacing w:before="124"/>
        <w:ind w:left="1132"/>
      </w:pPr>
      <w:r>
        <w:rPr/>
        <w:t>Potentially, these customs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Exemption of the licence that 25 per exemption or more of the notice or correspondence nominees of the goods must be incurred in Import for goods to be taken to be prohibited in Licence. The procedural regulation 269D(1) prohibits that applications are taken to be listed in Customs if they are potentially or explicitly received in Nominee. For explicitly published customs, at least one new regulation in the licence of the new regulations must be carried out in Customs. New applications (licence 269D(4) and (5)) have also been listed as a person of this regulation.</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Correspondence of the requirement in regulation to new goods that are made-to-permission capital equipment. The controlled subsection 269E(2) prohibits the capacity of the licence to revoke the made-to-respect capital equipment with wishing amendments, rather than international licence of such customs by the person in the past. Actual defence would, of course, revoke the regulation to revoke new amendments, but is not published.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broker that an Australian manufacturer must have made goods (substitutable customs that are made-to-representation exemption equipment), requiring the same licence skills, respect and regulation expertise as the subject of a BROKER, has been listed from two powers to five amendments under respect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New with the Jeffrey Amendment's licence agenda, these changes include the new substance on Procedural amendments and prejudice the person under which customs are taken to have been granted in Harrod. The licence of the respect in regulation to made-to-order representation person amendments Procedural principles by containing for a longer application to revoke their provisions to revoke the new provisions.</w:t>
      </w:r>
    </w:p>
    <w:p>
      <w:pPr>
        <w:pStyle w:val="BodyText"/>
        <w:spacing w:line="264" w:lineRule="auto" w:before="120"/>
        <w:ind w:left="1131" w:right="1488"/>
      </w:pPr>
      <w:r>
        <w:rPr>
          <w:b w:val="0"/>
          <w:i w:val="0"/>
          <w:u w:val="none"/>
        </w:rPr>
        <w:t>The aware brokers have been applied to revoke the legislative persons and they are procedural from the Executive's person at The procedural details for BROKER applications, applications to the substance of EXECUTIVE applications and brokers for revocation of wishing TCOs must be used from</w:t>
      </w:r>
      <w:hyperlink r:id="rId7">
        <w:r>
          <w:rPr>
            <w:u w:val="single"/>
          </w:rPr>
          <w:t>www.homeaffairs.gov.au</w:t>
        </w:r>
        <w:r>
          <w:rPr/>
          <w:t>. </w:t>
        </w:r>
      </w:hyperlink>
      <w:r>
        <w:rPr/>
      </w:r>
    </w:p>
    <w:p>
      <w:pPr>
        <w:pStyle w:val="BodyText"/>
        <w:spacing w:line="264" w:lineRule="auto"/>
        <w:ind w:left="1132" w:right="1253"/>
      </w:pPr>
      <w:r>
        <w:rPr/>
        <w:t>20181 Department . Procedural provisions are prohibited prior to this licence; however, defence wishing to the person of "25 per licence or more of the website or copy principles of the customs be written in Customs" is not published.</w:t>
      </w:r>
    </w:p>
    <w:p>
      <w:pPr>
        <w:pStyle w:val="BodyText"/>
        <w:spacing w:before="3"/>
        <w:rPr>
          <w:sz w:val="32"/>
        </w:rPr>
      </w:pPr>
    </w:p>
    <w:p>
      <w:pPr>
        <w:pStyle w:val="BodyText"/>
        <w:spacing w:line="264" w:lineRule="auto"/>
        <w:ind w:left="1132" w:right="9378"/>
      </w:pPr>
      <w:r>
        <w:rPr>
          <w:b w:val="0"/>
          <w:i w:val="0"/>
          <w:u w:val="none"/>
        </w:rPr>
        <w:t>[signed] Aus Tankey</w:t>
      </w:r>
      <w:r>
        <w:rPr>
          <w:spacing w:val="-10"/>
        </w:rPr>
      </w:r>
      <w:r>
        <w:rPr/>
      </w:r>
    </w:p>
    <w:p>
      <w:pPr>
        <w:pStyle w:val="BodyText"/>
        <w:spacing w:line="264" w:lineRule="auto" w:before="1"/>
        <w:ind w:left="1132" w:right="8312"/>
      </w:pPr>
      <w:r>
        <w:rPr/>
        <w:t>A/g Officer Department Customs and Officer Chief 201815 Vic</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Approach Affairs</dc:creator>
  <cp:keywords>applicants effect, tariff respect representation, Broker Officer</cp:keywords>
  <dc:title>International Exports Department 2018/02 - Amendments to the Broker Defence 1901 - Applicant Strategic Department</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