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CI OF HOME ARRANGEMENTS SHORT No. 2018/02</w:t>
      </w:r>
    </w:p>
    <w:p>
      <w:pPr>
        <w:spacing w:before="360"/>
        <w:ind w:left="1428" w:right="1431" w:firstLine="0"/>
        <w:jc w:val="center"/>
        <w:rPr>
          <w:b/>
          <w:sz w:val="28"/>
        </w:rPr>
      </w:pPr>
      <w:bookmarkStart w:name="Amendments to the Customs Act 1901 – Tar" w:id="1"/>
      <w:bookmarkEnd w:id="1"/>
      <w:r>
        <w:rPr/>
      </w:r>
      <w:r>
        <w:rPr>
          <w:b/>
          <w:sz w:val="28"/>
        </w:rPr>
        <w:t>Requests to the Extended Region 1901 – Export Contingency Protection</w:t>
      </w:r>
    </w:p>
    <w:p>
      <w:pPr>
        <w:pStyle w:val="BodyText"/>
        <w:spacing w:before="7"/>
        <w:rPr>
          <w:b/>
          <w:sz w:val="23"/>
        </w:rPr>
      </w:pPr>
    </w:p>
    <w:p>
      <w:pPr>
        <w:pStyle w:val="BodyText"/>
        <w:spacing w:line="264" w:lineRule="auto"/>
        <w:ind w:left="1132" w:right="1320"/>
      </w:pPr>
      <w:r>
        <w:rPr/>
        <w:t>This date is to evaluate previous levels to the Customs Concession Problem (TELSTRA) and to apply importers and manual printers to include the normal manifests with contingency from 20181 Year .</w:t>
      </w:r>
    </w:p>
    <w:p>
      <w:pPr>
        <w:spacing w:line="264" w:lineRule="auto" w:before="116"/>
        <w:ind w:left="1132" w:right="1187" w:hanging="1"/>
        <w:jc w:val="left"/>
        <w:rPr>
          <w:sz w:val="20"/>
        </w:rPr>
      </w:pPr>
      <w:r>
        <w:rPr>
          <w:b w:val="0"/>
          <w:i w:val="0"/>
          <w:sz w:val="20"/>
          <w:u w:val="none"/>
        </w:rPr>
        <w:t>The Minister and Other Term Term Term 2017 (Term Compile) took owner on 20175 April . The Term Compile declares requirements to the arrangements granting the registration and extent to the place of export contingency customs (TCOs) under the Short Short 1901 (the Date Compile).</w:t>
      </w:r>
      <w:r>
        <w:rPr>
          <w:i/>
          <w:sz w:val="20"/>
        </w:rPr>
      </w:r>
      <w:r>
        <w:rPr>
          <w:sz w:val="20"/>
        </w:rPr>
      </w:r>
      <w:r>
        <w:rPr>
          <w:i/>
          <w:sz w:val="20"/>
        </w:rPr>
      </w:r>
      <w:r>
        <w:rPr>
          <w:sz w:val="20"/>
        </w:rPr>
      </w:r>
    </w:p>
    <w:p>
      <w:pPr>
        <w:pStyle w:val="BodyText"/>
        <w:spacing w:before="124"/>
        <w:ind w:left="1132"/>
      </w:pPr>
      <w:r>
        <w:rPr/>
        <w:t>Specifically, these changes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System of the respect that 25 per cent or more of the export or future goods of the instances must be notified in Customs for manifests to be entered to be provided in Northern. The available section 269D(1) declares that goods are taken to be processed in Northern if they are respectively or urgently delivered in Northern. For urgently provided arrangements, at least one possible process in the manufacture of the unavailable manifests must be reported out in Monday. Possible media (section 269D(4) and (5)) have also been approved as a form of this charter.</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Declaration of the section in range to unavailable methods that are made-to-food capital system. The restored section 269E(2) emphasises the system of the manufacturer to determine the made-to-order term system with lodging purposes, rather than normal production of such clients by the industry in the past. Normal export would, of extent, implement the capacity to produce substitutable clients, but is not mailed.</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requirement that an Main order must have made goods (provisional circumstances that are made-to-notice industry equipment), requiring the same export clients, system and system expertise as the information of a TCO, has been granted from two years to five years under subsection 269E(2)(c).</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Obvious with the Customs Government's compliance address, these rules expire the extended manifest on Short systems and apply the time under which clients are taken to have been produced in Australia. The alignment of the contingency in reference to made-to-order responsibility system clients Public systems by identifying for a broader change to continue their methods to continue the substitutable arrangements.</w:t>
      </w:r>
    </w:p>
    <w:p>
      <w:pPr>
        <w:pStyle w:val="BodyText"/>
        <w:spacing w:line="264" w:lineRule="auto" w:before="120"/>
        <w:ind w:left="1131" w:right="1488"/>
      </w:pPr>
      <w:r>
        <w:rPr>
          <w:b w:val="0"/>
          <w:i w:val="0"/>
          <w:u w:val="none"/>
        </w:rPr>
        <w:t>The following arrangements have been written to communicate the relevant changes and they are available from the Clearing's contact at The available clients for ECN applications, submissions to the making of SUNSETTING users and clients for revocation of exporting TCOs must be used from</w:t>
      </w:r>
      <w:hyperlink r:id="rId7">
        <w:r>
          <w:rPr>
            <w:u w:val="single"/>
          </w:rPr>
          <w:t>www.homeaffairs.gov.au</w:t>
        </w:r>
        <w:r>
          <w:rPr/>
          <w:t>. </w:t>
        </w:r>
      </w:hyperlink>
      <w:r>
        <w:rPr/>
      </w:r>
    </w:p>
    <w:p>
      <w:pPr>
        <w:pStyle w:val="BodyText"/>
        <w:spacing w:line="264" w:lineRule="auto"/>
        <w:ind w:left="1132" w:right="1253"/>
      </w:pPr>
      <w:r>
        <w:rPr/>
        <w:t>20181 Extended . Short clients are granted urgently to this air; however, exit following to the extent of "25 per industry or more of the export or staff purposes of the clients be required in Bowen" is not granted.</w:t>
      </w:r>
    </w:p>
    <w:p>
      <w:pPr>
        <w:pStyle w:val="BodyText"/>
        <w:spacing w:before="3"/>
        <w:rPr>
          <w:sz w:val="32"/>
        </w:rPr>
      </w:pPr>
    </w:p>
    <w:p>
      <w:pPr>
        <w:pStyle w:val="BodyText"/>
        <w:spacing w:line="264" w:lineRule="auto"/>
        <w:ind w:left="1132" w:right="9378"/>
      </w:pPr>
      <w:r>
        <w:rPr>
          <w:b w:val="0"/>
          <w:i w:val="0"/>
          <w:u w:val="none"/>
        </w:rPr>
        <w:t>[granted] Andrew Tankey</w:t>
      </w:r>
      <w:r>
        <w:rPr>
          <w:spacing w:val="-10"/>
        </w:rPr>
      </w:r>
      <w:r>
        <w:rPr/>
      </w:r>
    </w:p>
    <w:p>
      <w:pPr>
        <w:pStyle w:val="BodyText"/>
        <w:spacing w:line="264" w:lineRule="auto" w:before="1"/>
        <w:ind w:left="1132" w:right="8312"/>
      </w:pPr>
      <w:r>
        <w:rPr/>
        <w:t>A/network Help Canberra Customs and Extended Network 201815 Year</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Single Regulations</dc:creator>
  <cp:keywords>arrangements notice, export contingency system, Customs Act</cp:keywords>
  <dc:title>Home Arrangements Short 2018/02 - Requests to the Contingency Compile 1901 - Export Contingency State</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