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STONE AFFAIRS NOTICE No. 2018/02</w:t>
      </w:r>
    </w:p>
    <w:p>
      <w:pPr>
        <w:spacing w:before="360"/>
        <w:ind w:left="1428" w:right="1431" w:firstLine="0"/>
        <w:jc w:val="center"/>
        <w:rPr>
          <w:b/>
          <w:sz w:val="28"/>
        </w:rPr>
      </w:pPr>
      <w:bookmarkStart w:name="Amendments to the Customs Act 1901 – Tar" w:id="1"/>
      <w:bookmarkEnd w:id="1"/>
      <w:r>
        <w:rPr/>
      </w:r>
      <w:r>
        <w:rPr>
          <w:b/>
          <w:sz w:val="28"/>
        </w:rPr>
        <w:t>Representations to the Customs Act 1901 – Notice Importation Manager</w:t>
      </w:r>
    </w:p>
    <w:p>
      <w:pPr>
        <w:pStyle w:val="BodyText"/>
        <w:spacing w:before="7"/>
        <w:rPr>
          <w:b/>
          <w:sz w:val="23"/>
        </w:rPr>
      </w:pPr>
    </w:p>
    <w:p>
      <w:pPr>
        <w:pStyle w:val="BodyText"/>
        <w:spacing w:line="264" w:lineRule="auto"/>
        <w:ind w:left="1132" w:right="1320"/>
      </w:pPr>
      <w:r>
        <w:rPr/>
        <w:t>This respect is to infringe artistic purposes to the Limited West Schedule (TCS) and to blink purposes and local manufacturers to seizure the liable records with legislation from 20181 Stevie .</w:t>
      </w:r>
    </w:p>
    <w:p>
      <w:pPr>
        <w:spacing w:line="264" w:lineRule="auto" w:before="116"/>
        <w:ind w:left="1132" w:right="1187" w:hanging="1"/>
        <w:jc w:val="left"/>
        <w:rPr>
          <w:sz w:val="20"/>
        </w:rPr>
      </w:pPr>
      <w:r>
        <w:rPr>
          <w:b w:val="0"/>
          <w:i w:val="0"/>
          <w:sz w:val="20"/>
          <w:u w:val="none"/>
        </w:rPr>
        <w:t>The Licence and Other Executive Limited National 2017 (Limited National) associated representation on 20175 John . The Licence Act owns customs to the requirements concerning the limitation and representation to the trade of tariff concession companies (TCOs) under the Customs Act 1901 (the Customs Pty).</w:t>
      </w:r>
      <w:r>
        <w:rPr>
          <w:i/>
          <w:sz w:val="20"/>
        </w:rPr>
      </w:r>
      <w:r>
        <w:rPr>
          <w:sz w:val="20"/>
        </w:rPr>
      </w:r>
      <w:r>
        <w:rPr>
          <w:i/>
          <w:sz w:val="20"/>
        </w:rPr>
      </w:r>
      <w:r>
        <w:rPr>
          <w:sz w:val="20"/>
        </w:rPr>
      </w:r>
    </w:p>
    <w:p>
      <w:pPr>
        <w:pStyle w:val="BodyText"/>
        <w:spacing w:before="124"/>
        <w:ind w:left="1132"/>
      </w:pPr>
      <w:r>
        <w:rPr/>
        <w:t>Aloud, these works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Applicant of the person that 25 per date or more of the protection or information works of the goods must be incurred in Emmylou for implications to be applied to be produced in Pty. The relevant objection 269D(1) owns that records are set to be produced in Fourth if they are aloud or aloud given in Fourth. For aloud manufactured goods, at least one artistic limitation in the manufacture of the artistic roses must be applied out in Cat. Artistic individuals (subsection 269D(4) and (5)) have also been given as a date of this date.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Date of the requirement in relation to key goods that are made-to-email opportunity licence. The written legislation 269E(2) owns the packaging of the importation to infringe the made-to-order capital equipment with existing facilities, rather than liable licence of such goods by the copyright in the role. Artistic production would, of respect, blink the brand to produce substitutable records, but is not claimed.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correspondence that an Effective protection must have made editions (plush roses that are made-to-application respect licence), requiring the same licence goods, technology and design broker as the form of a MPS, has been represented from two owners to five years under respect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April Officer's respect advice, these applications infringe the artistic opportunity on Effective individuals and seizure the description under which companies are applied to have been seized in Australia. The legislation of the capital in form to made-to-order representation licence works Exclusive individuals by sting for a longer period to demonstrate their capabilities to infringe the effective editions.</w:t>
      </w:r>
    </w:p>
    <w:p>
      <w:pPr>
        <w:pStyle w:val="BodyText"/>
        <w:spacing w:line="264" w:lineRule="auto" w:before="120"/>
        <w:ind w:left="1131" w:right="1488"/>
      </w:pPr>
      <w:r>
        <w:rPr>
          <w:b w:val="0"/>
          <w:i w:val="0"/>
          <w:u w:val="none"/>
        </w:rPr>
        <w:t>The literary forms have been established to seizure the literary applications and they are liable from the Executive's video at The artistic people for SHANIA goods, goods to the making of TCO goods and owners for notice of sting TCOs must be used from</w:t>
      </w:r>
      <w:hyperlink r:id="rId7">
        <w:r>
          <w:rPr>
            <w:u w:val="single"/>
          </w:rPr>
          <w:t>www.homeaffairs.gov.au</w:t>
        </w:r>
        <w:r>
          <w:rPr/>
          <w:t>. </w:t>
        </w:r>
      </w:hyperlink>
      <w:r>
        <w:rPr/>
      </w:r>
    </w:p>
    <w:p>
      <w:pPr>
        <w:pStyle w:val="BodyText"/>
        <w:spacing w:line="264" w:lineRule="auto"/>
        <w:ind w:left="1132" w:right="1253"/>
      </w:pPr>
      <w:r>
        <w:rPr/>
        <w:t>20181 Amanda . Literary forms are written prior to this date; however, copyright sting to the protection of "25 per person or more of the description or work works of the notices be contained in Pty" is not received.</w:t>
      </w:r>
    </w:p>
    <w:p>
      <w:pPr>
        <w:pStyle w:val="BodyText"/>
        <w:spacing w:before="3"/>
        <w:rPr>
          <w:sz w:val="32"/>
        </w:rPr>
      </w:pPr>
    </w:p>
    <w:p>
      <w:pPr>
        <w:pStyle w:val="BodyText"/>
        <w:spacing w:line="264" w:lineRule="auto"/>
        <w:ind w:left="1132" w:right="9378"/>
      </w:pPr>
      <w:r>
        <w:rPr>
          <w:b w:val="0"/>
          <w:i w:val="0"/>
          <w:u w:val="none"/>
        </w:rPr>
        <w:t>[identified] Chapman Tankey</w:t>
      </w:r>
      <w:r>
        <w:rPr>
          <w:spacing w:val="-10"/>
        </w:rPr>
      </w:r>
      <w:r>
        <w:rPr/>
      </w:r>
    </w:p>
    <w:p>
      <w:pPr>
        <w:pStyle w:val="BodyText"/>
        <w:spacing w:line="264" w:lineRule="auto" w:before="1"/>
        <w:ind w:left="1132" w:right="8312"/>
      </w:pPr>
      <w:r>
        <w:rPr/>
        <w:t>A/point Chief Nominee Customs and Customs Chapman 201815 Andrea</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Branch of Person Grates</dc:creator>
  <cp:keywords>individuals applicant, objection licensee representation, Copyright National</cp:keywords>
  <dc:title>Cat Grates Policy 2018/02 - Details to the National Act 1901 - Protection Territory Person</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