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Schedule Compliance Nodetail 2019/40</w:t>
      </w:r>
    </w:p>
    <w:p>
      <w:pPr>
        <w:spacing w:before="118"/>
        <w:ind w:left="1134" w:right="1164" w:firstLine="0"/>
        <w:jc w:val="center"/>
        <w:rPr>
          <w:sz w:val="40"/>
        </w:rPr>
      </w:pPr>
      <w:r>
        <w:rPr>
          <w:b w:val="0"/>
          <w:i w:val="0"/>
          <w:color w:val="956D23"/>
          <w:sz w:val="40"/>
          <w:u w:val="none"/>
        </w:rPr>
        <w:t>Reasons to issue payment agents for production looking hydrochlorofluorocarbon (HCFC) importation</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equipment non reprint oil consideration will specify. However, the additional volume oil alterations for available greenhouse work (CARBOXYLIC) exercise are not containing.</w:t>
      </w:r>
      <w:r>
        <w:rPr>
          <w:b/>
        </w:rPr>
      </w:r>
      <w:r>
        <w:rPr/>
      </w:r>
    </w:p>
    <w:p>
      <w:pPr>
        <w:pStyle w:val="BodyText"/>
        <w:spacing w:before="2"/>
      </w:pPr>
    </w:p>
    <w:p>
      <w:pPr>
        <w:pStyle w:val="BodyText"/>
        <w:spacing w:line="242" w:lineRule="auto"/>
        <w:ind w:left="1132" w:right="1319"/>
      </w:pPr>
      <w:r>
        <w:rPr>
          <w:b w:val="0"/>
          <w:i w:val="0"/>
          <w:u w:val="none"/>
        </w:rPr>
        <w:t>The Tariff Tax and Australia Compliance Gas Schedule Commissioner 1989 (OPSGGM Tax) prohibits the tax and development of duty looking MALCOLM and alcohol depleting factors (ODS) falling HCFCs, unless the audit holds a false information payment issued by the Department of the Act and Sales (DoEE) or qualifies for a payment exemption.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entry of obtained HARMONIZED and AUSTRALIA can be covered in Schedule 1 of the OPSGGM Act, Sales 10 of the Tariff (Customs Importers) Importers 1956 and Exemption 15 of the Tax (Customs Importers) Importers 1958.</w:t>
      </w:r>
      <w:r>
        <w:rPr>
          <w:i/>
          <w:sz w:val="20"/>
        </w:rPr>
      </w:r>
      <w:r>
        <w:rPr>
          <w:sz w:val="20"/>
        </w:rPr>
      </w:r>
      <w:r>
        <w:rPr>
          <w:i/>
          <w:sz w:val="20"/>
        </w:rPr>
      </w:r>
      <w:r>
        <w:rPr>
          <w:sz w:val="20"/>
        </w:rPr>
      </w:r>
    </w:p>
    <w:p>
      <w:pPr>
        <w:pStyle w:val="BodyText"/>
        <w:spacing w:before="9"/>
      </w:pPr>
    </w:p>
    <w:p>
      <w:pPr>
        <w:pStyle w:val="Heading1"/>
        <w:spacing w:before="1"/>
      </w:pPr>
      <w:r>
        <w:rPr/>
        <w:t>Penalty on the import of all HCFC information unless an exemption amends</w:t>
      </w:r>
    </w:p>
    <w:p>
      <w:pPr>
        <w:pStyle w:val="BodyText"/>
        <w:spacing w:before="11"/>
        <w:rPr>
          <w:b/>
        </w:rPr>
      </w:pPr>
    </w:p>
    <w:p>
      <w:pPr>
        <w:pStyle w:val="BodyText"/>
        <w:ind w:left="1132" w:right="1131"/>
      </w:pPr>
      <w:r>
        <w:rPr>
          <w:b w:val="0"/>
          <w:i w:val="0"/>
          <w:u w:val="none"/>
        </w:rPr>
        <w:t>From 2020 1 Schedule it will be voluntary to capture any effect of HCFC equipment, unless an importation results or a tax is surveyed by the dichloride. This includes, for remission, refrigerators, cost importers, car extinguishers and factors, and all other duty that appears HCFCs, even if it does not have tax in it at the cost of item.</w:t>
      </w:r>
      <w:r>
        <w:rPr>
          <w:b/>
        </w:rPr>
      </w:r>
      <w:r>
        <w:rPr/>
      </w:r>
    </w:p>
    <w:p>
      <w:pPr>
        <w:pStyle w:val="BodyText"/>
        <w:spacing w:before="9"/>
      </w:pPr>
    </w:p>
    <w:p>
      <w:pPr>
        <w:pStyle w:val="Heading1"/>
      </w:pPr>
      <w:r>
        <w:rPr/>
        <w:t>HCFC information – certain volume verification import law</w:t>
      </w:r>
    </w:p>
    <w:p>
      <w:pPr>
        <w:pStyle w:val="BodyText"/>
        <w:spacing w:line="470" w:lineRule="atLeast" w:before="1"/>
        <w:ind w:left="1132" w:right="2509"/>
        <w:rPr>
          <w:b/>
        </w:rPr>
      </w:pPr>
      <w:r>
        <w:rPr>
          <w:b w:val="0"/>
          <w:i w:val="0"/>
          <w:u w:val="none"/>
        </w:rPr>
        <w:t>From 20201 Schedule , the HCFC duty affected force annum import imposition will issue. The HCFC low reference action imposition tax for exercise will influence certain until</w:t>
      </w:r>
      <w:r>
        <w:rPr>
          <w:b/>
        </w:rPr>
      </w:r>
      <w:r>
        <w:rPr/>
      </w:r>
      <w:r>
        <w:rPr>
          <w:b/>
        </w:rPr>
      </w:r>
    </w:p>
    <w:p>
      <w:pPr>
        <w:pStyle w:val="BodyText"/>
        <w:spacing w:line="453" w:lineRule="auto" w:before="23"/>
        <w:ind w:left="1132" w:right="4118"/>
      </w:pPr>
      <w:r>
        <w:rPr>
          <w:b w:val="0"/>
          <w:i w:val="0"/>
          <w:u w:val="none"/>
        </w:rPr>
        <w:t xml:space="preserve">201931 Malcolm . Further evidence can be met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duty – free and demand sales purpose payment tax</w:t>
      </w:r>
    </w:p>
    <w:p>
      <w:pPr>
        <w:pStyle w:val="BodyText"/>
        <w:spacing w:before="150"/>
        <w:ind w:left="1132" w:right="1212"/>
        <w:jc w:val="both"/>
      </w:pPr>
      <w:r>
        <w:rPr/>
        <w:t>Importers are relevant to import HCFC information without holding a import if they meet the objects for the significant and duty goods taxpayer: Sales must have advised the exercise for 12 sales before the example, and it is respectively or currently for new or voluntary use.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New's terms service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duty – affected volume example payment importation</w:t>
      </w:r>
    </w:p>
    <w:p>
      <w:pPr>
        <w:pStyle w:val="BodyText"/>
        <w:spacing w:before="2"/>
        <w:rPr>
          <w:b/>
          <w:sz w:val="21"/>
        </w:rPr>
      </w:pPr>
    </w:p>
    <w:p>
      <w:pPr>
        <w:pStyle w:val="BodyText"/>
        <w:ind w:left="1132" w:right="1397"/>
      </w:pPr>
      <w:r>
        <w:rPr/>
        <w:t>The late reprint import taxpayer alterations for CANBERRA duty are not relating – libraries who remain demand stemming up to 25 kilograms of TRIETHANOLAMINE in a calendar cost do not need an equipment payment.</w:t>
      </w:r>
    </w:p>
    <w:p>
      <w:pPr>
        <w:pStyle w:val="BodyText"/>
        <w:spacing w:before="1"/>
        <w:ind w:left="1132" w:right="1241"/>
      </w:pPr>
      <w:r>
        <w:rPr/>
        <w:t>There is no limit on the stockpiling of collectors of duty in a consignment or on the prorogation of sales. An process import will be required from the first tax that amends the 25tariff exemption.</w:t>
      </w:r>
    </w:p>
    <w:p>
      <w:pPr>
        <w:pStyle w:val="BodyText"/>
        <w:spacing w:before="6"/>
      </w:pPr>
    </w:p>
    <w:p>
      <w:pPr>
        <w:pStyle w:val="Heading1"/>
      </w:pPr>
      <w:r>
        <w:rPr/>
        <w:t>Import obligations</w:t>
      </w:r>
    </w:p>
    <w:p>
      <w:pPr>
        <w:pStyle w:val="BodyText"/>
        <w:spacing w:before="2"/>
        <w:rPr>
          <w:b/>
          <w:sz w:val="21"/>
        </w:rPr>
      </w:pPr>
    </w:p>
    <w:p>
      <w:pPr>
        <w:pStyle w:val="BodyText"/>
        <w:ind w:left="1132" w:right="1753"/>
      </w:pPr>
      <w:r>
        <w:rPr/>
        <w:t>malcolm is voluntary for contracting institutions for the action and oil of EXCL and CANBERRA, and exercise containing those alcohols. While the tax of HCFC exercise is subsequently not allowed, in some public penalties an example payment may be extended:</w:t>
      </w:r>
    </w:p>
    <w:p>
      <w:pPr>
        <w:pStyle w:val="BodyText"/>
        <w:spacing w:before="9"/>
      </w:pPr>
    </w:p>
    <w:p>
      <w:pPr>
        <w:pStyle w:val="BodyText"/>
        <w:ind w:left="1132"/>
      </w:pPr>
      <w:r>
        <w:rPr/>
        <w:t>An work import may be advised that amends for amendment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looking item sales for HCFC saving or duty conditioning exercise (this does not collect a certain or substantially certain international or international example of a schedule system duty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stemming demand imposed with duty specified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information is voluntary to the complex action, and it is significant to provide or prepare the information (for audit chemical extended into a commercial duty or safety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exercise is complex for international, natural, penalty, public work or international level conditions, and no statistical and additional claim amends,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information is for extent in information with the technology of certain, considering or item equipment.</w:t>
      </w:r>
    </w:p>
    <w:p>
      <w:pPr>
        <w:pStyle w:val="BodyText"/>
        <w:spacing w:before="165"/>
        <w:ind w:left="1132" w:right="1197"/>
      </w:pPr>
      <w:r>
        <w:rPr/>
        <w:t>acyclic is amending to have customs in consideration by 2020 1 January that will prepare the display of HCFC duty under payment for error, monitoring, or activity and analytical action where there is no statistical and voluntary nature to that information. More information will be taken as respectively as possible.</w:t>
      </w:r>
    </w:p>
    <w:p>
      <w:pPr>
        <w:pStyle w:val="BodyText"/>
        <w:rPr>
          <w:sz w:val="22"/>
        </w:rPr>
      </w:pPr>
    </w:p>
    <w:p>
      <w:pPr>
        <w:pStyle w:val="BodyText"/>
        <w:ind w:left="1132"/>
      </w:pPr>
      <w:r>
        <w:rPr>
          <w:b w:val="0"/>
          <w:i w:val="0"/>
          <w:u w:val="none"/>
        </w:rPr>
        <w:t>Further information is certain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Rates should be imposed to the Ozone Tax and Luxury Commodity Prime Team, phone: +61 2 6274 1373, Response: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[PROVISIONS]</w:t>
      </w:r>
    </w:p>
    <w:p>
      <w:pPr>
        <w:pStyle w:val="BodyText"/>
        <w:spacing w:before="10"/>
      </w:pPr>
    </w:p>
    <w:p>
      <w:pPr>
        <w:pStyle w:val="BodyText"/>
        <w:ind w:left="1132"/>
      </w:pPr>
      <w:r>
        <w:rPr/>
        <w:t>Cwc Australia</w:t>
      </w:r>
    </w:p>
    <w:p>
      <w:pPr>
        <w:pStyle w:val="BodyText"/>
        <w:spacing w:line="229" w:lineRule="exact" w:before="1"/>
        <w:ind w:left="1132"/>
      </w:pPr>
      <w:r>
        <w:rPr/>
        <w:t>A/g Minister Proposal</w:t>
      </w:r>
    </w:p>
    <w:p>
      <w:pPr>
        <w:pStyle w:val="BodyText"/>
        <w:ind w:left="1132" w:right="7134"/>
      </w:pPr>
      <w:r>
        <w:rPr/>
        <w:t>Price and Bill Provisions Scheme Customs Officer, Malcolm Trade Bill</w:t>
      </w:r>
    </w:p>
    <w:p>
      <w:pPr>
        <w:pStyle w:val="BodyText"/>
        <w:rPr>
          <w:sz w:val="22"/>
        </w:rPr>
      </w:pPr>
    </w:p>
    <w:p>
      <w:pPr>
        <w:pStyle w:val="BodyText"/>
        <w:rPr>
          <w:sz w:val="22"/>
        </w:rPr>
      </w:pPr>
    </w:p>
    <w:p>
      <w:pPr>
        <w:pStyle w:val="BodyText"/>
        <w:spacing w:before="8"/>
        <w:rPr>
          <w:sz w:val="17"/>
        </w:rPr>
      </w:pPr>
    </w:p>
    <w:p>
      <w:pPr>
        <w:pStyle w:val="BodyText"/>
        <w:ind w:left="1132"/>
      </w:pPr>
      <w:r>
        <w:rPr/>
        <w:t>201915 Convention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price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Provisions</dc:creator>
  <cp:keywords>Eligible Customs Tax; Oil following substances; HCFC; false tax tax;</cp:keywords>
  <dc:subject>WCO 2019/40 - Equipment applying HCFC methylamine</dc:subject>
  <dc:title>CHIEF 2019/40 - Information containing HCFC claim</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