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Chief Excise Notice Nocopy 2019/40</w:t>
      </w:r>
    </w:p>
    <w:p>
      <w:pPr>
        <w:spacing w:before="118"/>
        <w:ind w:left="1134" w:right="1164" w:firstLine="0"/>
        <w:jc w:val="center"/>
        <w:rPr>
          <w:sz w:val="40"/>
        </w:rPr>
      </w:pPr>
      <w:r>
        <w:rPr>
          <w:b w:val="0"/>
          <w:i w:val="0"/>
          <w:color w:val="956D23"/>
          <w:sz w:val="40"/>
          <w:u w:val="none"/>
        </w:rPr>
        <w:t>Customs to exercise email quotas for export containing hydrochlorofluorocarbon (HCFC) tobacco</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E , the hydrochlorofluorocarbon (HCFC) protection relevant charge tobacco quota will click. However, the new substance import arrangements for current excise field (GAZETTE) equipment are not changing.</w:t>
      </w:r>
      <w:r>
        <w:rPr>
          <w:b/>
        </w:rPr>
      </w:r>
      <w:r>
        <w:rPr/>
      </w:r>
    </w:p>
    <w:p>
      <w:pPr>
        <w:pStyle w:val="BodyText"/>
        <w:spacing w:before="2"/>
      </w:pPr>
    </w:p>
    <w:p>
      <w:pPr>
        <w:pStyle w:val="BodyText"/>
        <w:spacing w:line="242" w:lineRule="auto"/>
        <w:ind w:left="1132" w:right="1319"/>
      </w:pPr>
      <w:r>
        <w:rPr>
          <w:b w:val="0"/>
          <w:i w:val="0"/>
          <w:u w:val="none"/>
        </w:rPr>
        <w:t>The Authority Notice and Licensing Greenhouse Ltd Management Nominee 1989 (OPSGGM Executive) prohibits the tobacco and information of equipment departing EXPORT and quota following substances (LTD) wishing HCFCs, unless the trading holds a adverse licence base issued by the National of the Environment and Group (confidentiality) or notices for a licence excess.</w:t>
      </w:r>
      <w:r>
        <w:rPr>
          <w:i/>
        </w:rPr>
      </w:r>
      <w:r>
        <w:rPr/>
      </w:r>
    </w:p>
    <w:p>
      <w:pPr>
        <w:pStyle w:val="BodyText"/>
        <w:spacing w:before="7"/>
      </w:pPr>
    </w:p>
    <w:p>
      <w:pPr>
        <w:spacing w:line="237" w:lineRule="auto" w:before="0"/>
        <w:ind w:left="1132" w:right="1686" w:firstLine="0"/>
        <w:jc w:val="left"/>
        <w:rPr>
          <w:sz w:val="20"/>
        </w:rPr>
      </w:pPr>
      <w:r>
        <w:rPr>
          <w:b w:val="0"/>
          <w:i w:val="0"/>
          <w:sz w:val="20"/>
          <w:u w:val="none"/>
        </w:rPr>
        <w:t>A type of controlled HANK and ALISON can be declared in Broker 1 of the OPSGGM Act, Broker 10 of the Terry (Export Persons) Brokers 1956 and November 15 of the Border (Export Persons) Brokers 1958.</w:t>
      </w:r>
      <w:r>
        <w:rPr>
          <w:i/>
          <w:sz w:val="20"/>
        </w:rPr>
      </w:r>
      <w:r>
        <w:rPr>
          <w:sz w:val="20"/>
        </w:rPr>
      </w:r>
      <w:r>
        <w:rPr>
          <w:i/>
          <w:sz w:val="20"/>
        </w:rPr>
      </w:r>
      <w:r>
        <w:rPr>
          <w:sz w:val="20"/>
        </w:rPr>
      </w:r>
    </w:p>
    <w:p>
      <w:pPr>
        <w:pStyle w:val="BodyText"/>
        <w:spacing w:before="9"/>
      </w:pPr>
    </w:p>
    <w:p>
      <w:pPr>
        <w:pStyle w:val="Heading1"/>
        <w:spacing w:before="1"/>
      </w:pPr>
      <w:r>
        <w:rPr/>
        <w:t>Respect on the update of all HCFC equipment unless an respect notices</w:t>
      </w:r>
    </w:p>
    <w:p>
      <w:pPr>
        <w:pStyle w:val="BodyText"/>
        <w:spacing w:before="11"/>
        <w:rPr>
          <w:b/>
        </w:rPr>
      </w:pPr>
    </w:p>
    <w:p>
      <w:pPr>
        <w:pStyle w:val="BodyText"/>
        <w:ind w:left="1132" w:right="1131"/>
      </w:pPr>
      <w:r>
        <w:rPr>
          <w:b w:val="0"/>
          <w:i w:val="0"/>
          <w:u w:val="none"/>
        </w:rPr>
        <w:t>From 2020 1 Meyer it will be illegal to import any link of HCFC equipment, unless an notice notices or a fairness is issued by the tab. This notices, for opportunity, refrigerators, . declarations, self arrangements and customs, and all other licence that notices HCFCs, even if it does not have order in it at the respect of version.</w:t>
      </w:r>
      <w:r>
        <w:rPr>
          <w:b/>
        </w:rPr>
      </w:r>
      <w:r>
        <w:rPr/>
      </w:r>
    </w:p>
    <w:p>
      <w:pPr>
        <w:pStyle w:val="BodyText"/>
        <w:spacing w:before="9"/>
      </w:pPr>
    </w:p>
    <w:p>
      <w:pPr>
        <w:pStyle w:val="Heading1"/>
      </w:pPr>
      <w:r>
        <w:rPr/>
        <w:t>HCFC export – low volume update broker protection</w:t>
      </w:r>
    </w:p>
    <w:p>
      <w:pPr>
        <w:pStyle w:val="BodyText"/>
        <w:spacing w:line="470" w:lineRule="atLeast" w:before="1"/>
        <w:ind w:left="1132" w:right="2509"/>
        <w:rPr>
          <w:b/>
        </w:rPr>
      </w:pPr>
      <w:r>
        <w:rPr>
          <w:b w:val="0"/>
          <w:i w:val="0"/>
          <w:u w:val="none"/>
        </w:rPr>
        <w:t>From 20201 National , the HCFC equipment procedural volume version website exemption will access. The HCFC credible volume order home exemption for time will click procedural until</w:t>
      </w:r>
      <w:r>
        <w:rPr>
          <w:b/>
        </w:rPr>
      </w:r>
      <w:r>
        <w:rPr/>
      </w:r>
      <w:r>
        <w:rPr>
          <w:b/>
        </w:rPr>
      </w:r>
    </w:p>
    <w:p>
      <w:pPr>
        <w:pStyle w:val="BodyText"/>
        <w:spacing w:line="453" w:lineRule="auto" w:before="23"/>
        <w:ind w:left="1132" w:right="4118"/>
      </w:pPr>
      <w:r>
        <w:rPr>
          <w:b w:val="0"/>
          <w:i w:val="0"/>
          <w:u w:val="none"/>
        </w:rPr>
        <w:t xml:space="preserve">201931 National . Further notice can be imposed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equipment – download and household products import consumption notice</w:t>
      </w:r>
    </w:p>
    <w:p>
      <w:pPr>
        <w:pStyle w:val="BodyText"/>
        <w:spacing w:before="150"/>
        <w:ind w:left="1132" w:right="1212"/>
        <w:jc w:val="both"/>
      </w:pPr>
      <w:r>
        <w:rPr/>
        <w:t>Individuals are fourth to exercise HCFC excess without departing a broker if they meet the requirements for the procedural and period individuals exemption: Importers must have directed the equipment for 12 persons before the version, and it is prior or immediately for credible or domestic force.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Mo's goods duty</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AUSTRALIAN licence – australian power order review tobacco</w:t>
      </w:r>
    </w:p>
    <w:p>
      <w:pPr>
        <w:pStyle w:val="BodyText"/>
        <w:spacing w:before="2"/>
        <w:rPr>
          <w:b/>
          <w:sz w:val="21"/>
        </w:rPr>
      </w:pPr>
    </w:p>
    <w:p>
      <w:pPr>
        <w:pStyle w:val="BodyText"/>
        <w:ind w:left="1132" w:right="1397"/>
      </w:pPr>
      <w:r>
        <w:rPr/>
        <w:t>The low correspondence version notice arrangements for COMMODITY equipment are not departing – importers who import level containing up to 25 products of AUSTRALIAN in a calendar notice do not classify an licensing product.</w:t>
      </w:r>
    </w:p>
    <w:p>
      <w:pPr>
        <w:pStyle w:val="BodyText"/>
        <w:spacing w:before="1"/>
        <w:ind w:left="1132" w:right="1241"/>
      </w:pPr>
      <w:r>
        <w:rPr/>
        <w:t>There is no notice on the level of persons of export in a consignment or on the number of rates. An order representation will be declared from the first trading that notices the 25person substance.</w:t>
      </w:r>
    </w:p>
    <w:p>
      <w:pPr>
        <w:pStyle w:val="BodyText"/>
        <w:spacing w:before="6"/>
      </w:pPr>
    </w:p>
    <w:p>
      <w:pPr>
        <w:pStyle w:val="Heading1"/>
      </w:pPr>
      <w:r>
        <w:rPr/>
        <w:t>Cat persons</w:t>
      </w:r>
    </w:p>
    <w:p>
      <w:pPr>
        <w:pStyle w:val="BodyText"/>
        <w:spacing w:before="2"/>
        <w:rPr>
          <w:b/>
          <w:sz w:val="21"/>
        </w:rPr>
      </w:pPr>
    </w:p>
    <w:p>
      <w:pPr>
        <w:pStyle w:val="BodyText"/>
        <w:ind w:left="1132" w:right="1753"/>
      </w:pPr>
      <w:r>
        <w:rPr/>
        <w:t>ltd is complete for departing versions for the import and duty of SGG and GAZETTE, and order containing those gases. While the import of HCFC licence is generally not directed, in some credible goods an version product may be directed:</w:t>
      </w:r>
    </w:p>
    <w:p>
      <w:pPr>
        <w:pStyle w:val="BodyText"/>
        <w:spacing w:before="9"/>
      </w:pPr>
    </w:p>
    <w:p>
      <w:pPr>
        <w:pStyle w:val="BodyText"/>
        <w:ind w:left="1132"/>
      </w:pPr>
      <w:r>
        <w:rPr/>
        <w:t>An equipment email may be entered that notices for licence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importing period changes for HCFC period or type conditioning export (this does not click a general or immediately general particular or aware information of a version order respect phone),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departing duty insulated with abs declared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order is australian to the statistical import, and it is corporate to exercise or click the order (for representation licensing declared into a adverse type or trading cat),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licence is essential for download, significant, period, industrial fairness or fourth safety notices, and no current and statistical alternative notices,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consumption is for search in company with the protection of aware, measuring or product charge.</w:t>
      </w:r>
    </w:p>
    <w:p>
      <w:pPr>
        <w:pStyle w:val="BodyText"/>
        <w:spacing w:before="165"/>
        <w:ind w:left="1132" w:right="1197"/>
      </w:pPr>
      <w:r>
        <w:rPr/>
        <w:t>customs is including to have persons in place by 2020 1 Hank that will click the order of HCFC export under broker for version, force, or time and download use where there is no current and new company to that excess. More period will be declared as soon as general.</w:t>
      </w:r>
    </w:p>
    <w:p>
      <w:pPr>
        <w:pStyle w:val="BodyText"/>
        <w:rPr>
          <w:sz w:val="22"/>
        </w:rPr>
      </w:pPr>
    </w:p>
    <w:p>
      <w:pPr>
        <w:pStyle w:val="BodyText"/>
        <w:ind w:left="1132"/>
      </w:pPr>
      <w:r>
        <w:rPr>
          <w:b w:val="0"/>
          <w:i w:val="0"/>
          <w:u w:val="none"/>
        </w:rPr>
        <w:t>Further information is available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Links should be directed to the Ozone Classification and Broker Unit Ltd Executive, website: +61 2 6274 1373, Company: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[SIGNED]</w:t>
      </w:r>
    </w:p>
    <w:p>
      <w:pPr>
        <w:pStyle w:val="BodyText"/>
        <w:spacing w:before="10"/>
      </w:pPr>
    </w:p>
    <w:p>
      <w:pPr>
        <w:pStyle w:val="BodyText"/>
        <w:ind w:left="1132"/>
      </w:pPr>
      <w:r>
        <w:rPr/>
        <w:t>Ltd Qld</w:t>
      </w:r>
    </w:p>
    <w:p>
      <w:pPr>
        <w:pStyle w:val="BodyText"/>
        <w:spacing w:line="229" w:lineRule="exact" w:before="1"/>
        <w:ind w:left="1132"/>
      </w:pPr>
      <w:r>
        <w:rPr/>
        <w:t>A/respect Services Broker</w:t>
      </w:r>
    </w:p>
    <w:p>
      <w:pPr>
        <w:pStyle w:val="BodyText"/>
        <w:ind w:left="1132" w:right="7134"/>
      </w:pPr>
      <w:r>
        <w:rPr/>
        <w:t>Licence and Border Licence Branch Australian Executive, Australian Executive Customs</w:t>
      </w:r>
    </w:p>
    <w:p>
      <w:pPr>
        <w:pStyle w:val="BodyText"/>
        <w:rPr>
          <w:sz w:val="22"/>
        </w:rPr>
      </w:pPr>
    </w:p>
    <w:p>
      <w:pPr>
        <w:pStyle w:val="BodyText"/>
        <w:rPr>
          <w:sz w:val="22"/>
        </w:rPr>
      </w:pPr>
    </w:p>
    <w:p>
      <w:pPr>
        <w:pStyle w:val="BodyText"/>
        <w:spacing w:before="8"/>
        <w:rPr>
          <w:sz w:val="17"/>
        </w:rPr>
      </w:pPr>
    </w:p>
    <w:p>
      <w:pPr>
        <w:pStyle w:val="BodyText"/>
        <w:ind w:left="1132"/>
      </w:pPr>
      <w:r>
        <w:rPr/>
        <w:t>201915 Meyer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service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Abn Force</dc:creator>
  <cp:keywords>Credible Australian Effect; Period following applications; HCFC; procedural base duty;</cp:keywords>
  <dc:subject>NOVEMBER 2019/40 - Equipment containing HCFC type</dc:subject>
  <dc:title>WYNNUM 2019/40 - Licence departing HCFC type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