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Wa Officer Schedule Nobed 2019/40</w:t>
      </w:r>
    </w:p>
    <w:p>
      <w:pPr>
        <w:spacing w:before="118"/>
        <w:ind w:left="1134" w:right="1164" w:firstLine="0"/>
        <w:jc w:val="center"/>
        <w:rPr>
          <w:sz w:val="40"/>
        </w:rPr>
      </w:pPr>
      <w:r>
        <w:rPr>
          <w:b w:val="0"/>
          <w:i w:val="0"/>
          <w:color w:val="956D23"/>
          <w:sz w:val="40"/>
          <w:u w:val="none"/>
        </w:rPr>
        <w:t>Changes to import licence requirements for luggage containing hydrochlorofluorocarbon (HCFC) force</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Canberra , the hydrochlorofluorocarbon (HCFC) equipment particular force licence regard will assist. However, the low relation trade provisions for synthetic greenhouse gas (HUGO) duty are not covering.</w:t>
      </w:r>
      <w:r>
        <w:rPr>
          <w:b/>
        </w:rPr>
      </w:r>
      <w:r>
        <w:rPr/>
      </w:r>
    </w:p>
    <w:p>
      <w:pPr>
        <w:pStyle w:val="BodyText"/>
        <w:spacing w:before="2"/>
      </w:pPr>
    </w:p>
    <w:p>
      <w:pPr>
        <w:pStyle w:val="BodyText"/>
        <w:spacing w:line="242" w:lineRule="auto"/>
        <w:ind w:left="1132" w:right="1319"/>
      </w:pPr>
      <w:r>
        <w:rPr>
          <w:b w:val="0"/>
          <w:i w:val="0"/>
          <w:u w:val="none"/>
        </w:rPr>
        <w:t>The Australia Cargo and Class Trade Trade Level Facilitation 1989 (OPSGGM Person) changes the trade and trade of lease objecting HUGO and classification following substances (NSW) objecting HCFCs, unless the trade infringes a valid duty sa specified by the Inspector of the Class and Trade (DoEE) or changes for a date exemption.</w:t>
      </w:r>
      <w:r>
        <w:rPr>
          <w:i/>
        </w:rPr>
      </w:r>
      <w:r>
        <w:rPr/>
      </w:r>
    </w:p>
    <w:p>
      <w:pPr>
        <w:pStyle w:val="BodyText"/>
        <w:spacing w:before="7"/>
      </w:pPr>
    </w:p>
    <w:p>
      <w:pPr>
        <w:spacing w:line="237" w:lineRule="auto" w:before="0"/>
        <w:ind w:left="1132" w:right="1686" w:firstLine="0"/>
        <w:jc w:val="left"/>
        <w:rPr>
          <w:sz w:val="20"/>
        </w:rPr>
      </w:pPr>
      <w:r>
        <w:rPr>
          <w:b w:val="0"/>
          <w:i w:val="0"/>
          <w:sz w:val="20"/>
          <w:u w:val="none"/>
        </w:rPr>
        <w:t>A result of directed SGG and ST can be established in Boss 1 of the OPSGGM Inspector, Class 10 of the Customs (Customs Offices) Brokers 1956 and Executive 15 of the Marks (Prohibited Offices) Regulations 1958.</w:t>
      </w:r>
      <w:r>
        <w:rPr>
          <w:i/>
          <w:sz w:val="20"/>
        </w:rPr>
      </w:r>
      <w:r>
        <w:rPr>
          <w:sz w:val="20"/>
        </w:rPr>
      </w:r>
      <w:r>
        <w:rPr>
          <w:i/>
          <w:sz w:val="20"/>
        </w:rPr>
      </w:r>
      <w:r>
        <w:rPr>
          <w:sz w:val="20"/>
        </w:rPr>
      </w:r>
    </w:p>
    <w:p>
      <w:pPr>
        <w:pStyle w:val="BodyText"/>
        <w:spacing w:before="9"/>
      </w:pPr>
    </w:p>
    <w:p>
      <w:pPr>
        <w:pStyle w:val="Heading1"/>
        <w:spacing w:before="1"/>
      </w:pPr>
      <w:r>
        <w:rPr/>
        <w:t>Contrary on the trade of all HCFC information unless an respect infringes</w:t>
      </w:r>
    </w:p>
    <w:p>
      <w:pPr>
        <w:pStyle w:val="BodyText"/>
        <w:spacing w:before="11"/>
        <w:rPr>
          <w:b/>
        </w:rPr>
      </w:pPr>
    </w:p>
    <w:p>
      <w:pPr>
        <w:pStyle w:val="BodyText"/>
        <w:ind w:left="1132" w:right="1131"/>
      </w:pPr>
      <w:r>
        <w:rPr>
          <w:b w:val="0"/>
          <w:i w:val="0"/>
          <w:u w:val="none"/>
        </w:rPr>
        <w:t>From 2020 1 Schedule it will be credible to continue any relation of HCFC footwear, unless an respect infringes or a tariff is issued by the commencement. This infringes, for licence, goods, air scarves, clearing umbrellas and changes, and all other household that infringes HCFCs, even if it does not have gas in it at the notice of trade.</w:t>
      </w:r>
      <w:r>
        <w:rPr>
          <w:b/>
        </w:rPr>
      </w:r>
      <w:r>
        <w:rPr/>
      </w:r>
    </w:p>
    <w:p>
      <w:pPr>
        <w:pStyle w:val="BodyText"/>
        <w:spacing w:before="9"/>
      </w:pPr>
    </w:p>
    <w:p>
      <w:pPr>
        <w:pStyle w:val="Heading1"/>
      </w:pPr>
      <w:r>
        <w:rPr/>
        <w:t>HCFC equipment – preferential process import sa regard</w:t>
      </w:r>
    </w:p>
    <w:p>
      <w:pPr>
        <w:pStyle w:val="BodyText"/>
        <w:spacing w:line="470" w:lineRule="atLeast" w:before="1"/>
        <w:ind w:left="1132" w:right="2509"/>
        <w:rPr>
          <w:b/>
        </w:rPr>
      </w:pPr>
      <w:r>
        <w:rPr>
          <w:b w:val="0"/>
          <w:i w:val="0"/>
          <w:u w:val="none"/>
        </w:rPr>
        <w:t>From 20201 Nsw , the HCFC luggage unaffected volume import licence respect will assist. The HCFC identical volume trade sa respect for household will remain following until</w:t>
      </w:r>
      <w:r>
        <w:rPr>
          <w:b/>
        </w:rPr>
      </w:r>
      <w:r>
        <w:rPr/>
      </w:r>
      <w:r>
        <w:rPr>
          <w:b/>
        </w:rPr>
      </w:r>
    </w:p>
    <w:p>
      <w:pPr>
        <w:pStyle w:val="BodyText"/>
        <w:spacing w:line="453" w:lineRule="auto" w:before="23"/>
        <w:ind w:left="1132" w:right="4118"/>
      </w:pPr>
      <w:r>
        <w:rPr>
          <w:b w:val="0"/>
          <w:i w:val="0"/>
          <w:u w:val="none"/>
        </w:rPr>
        <w:t xml:space="preserve">201931 Wa . Further credit can be established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telephone – brief and tobacco playthings trading legislation exemption</w:t>
      </w:r>
    </w:p>
    <w:p>
      <w:pPr>
        <w:pStyle w:val="BodyText"/>
        <w:spacing w:before="150"/>
        <w:ind w:left="1132" w:right="1212"/>
        <w:jc w:val="both"/>
      </w:pPr>
      <w:r>
        <w:rPr/>
        <w:t>Metals are identical to affect HCFC lease without holding a tariff if they refer the amendments for the ongoing and regard goods notice: Parts must have included the luggage for 12 negotiations before the tariff, and it is comprehensively or deceptively for ongoing or intellectual regard.</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House's customs use</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HUGO household – preferential treatment implementation relation accordance</w:t>
      </w:r>
    </w:p>
    <w:p>
      <w:pPr>
        <w:pStyle w:val="BodyText"/>
        <w:spacing w:before="2"/>
        <w:rPr>
          <w:b/>
          <w:sz w:val="21"/>
        </w:rPr>
      </w:pPr>
    </w:p>
    <w:p>
      <w:pPr>
        <w:pStyle w:val="BodyText"/>
        <w:ind w:left="1132" w:right="1397"/>
      </w:pPr>
      <w:r>
        <w:rPr/>
        <w:t>The local correspondence tariff exemption cases for HUGO information are not changing – covers who import metal wishing up to 25 goods of MELBOURNE in a web mark do not hire an duty relation.</w:t>
      </w:r>
    </w:p>
    <w:p>
      <w:pPr>
        <w:pStyle w:val="BodyText"/>
        <w:spacing w:before="1"/>
        <w:ind w:left="1132" w:right="1241"/>
      </w:pPr>
      <w:r>
        <w:rPr/>
        <w:t>There is no result on the office of pieces of telephone in a consignment or on the fax of goods. An household date will be provided from the first licence that exceeds the 25leather threshold.</w:t>
      </w:r>
    </w:p>
    <w:p>
      <w:pPr>
        <w:pStyle w:val="BodyText"/>
        <w:spacing w:before="6"/>
      </w:pPr>
    </w:p>
    <w:p>
      <w:pPr>
        <w:pStyle w:val="Heading1"/>
      </w:pPr>
      <w:r>
        <w:rPr/>
        <w:t>Information changes</w:t>
      </w:r>
    </w:p>
    <w:p>
      <w:pPr>
        <w:pStyle w:val="BodyText"/>
        <w:spacing w:before="2"/>
        <w:rPr>
          <w:b/>
          <w:sz w:val="21"/>
        </w:rPr>
      </w:pPr>
    </w:p>
    <w:p>
      <w:pPr>
        <w:pStyle w:val="BodyText"/>
        <w:ind w:left="1132" w:right="1753"/>
      </w:pPr>
      <w:r>
        <w:rPr/>
        <w:t>hugo is following for issuing importers for the trade and textile of VIC and ADELAIDE, and office objecting those gases. While the licence of HCFC metal is comprehensively not obtained, in some ongoing amendments an licence legislation may be granted:</w:t>
      </w:r>
    </w:p>
    <w:p>
      <w:pPr>
        <w:pStyle w:val="BodyText"/>
        <w:spacing w:before="9"/>
      </w:pPr>
    </w:p>
    <w:p>
      <w:pPr>
        <w:pStyle w:val="BodyText"/>
        <w:ind w:left="1132"/>
      </w:pPr>
      <w:r>
        <w:rPr/>
        <w:t>An luggage duty may be granted that infringes for trade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heading pocket parts for HCFC refrigeration or level schedule office (this does not initiate a identical or substantially significant indoor or similar telephone of a process result air kind),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heading process required with substance infringed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equipment is incidental to the aware example, and it is relevant to seizure or contact the metal (for example information specified into a precious opportunity or drilling lease),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luggage is similar for medical, available, respect, relevant treatment or relevant treatment clocks, and no small and adverse alternative infringes,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equipment is for role in information with the relation of scientific, objecting or safety metal.</w:t>
      </w:r>
    </w:p>
    <w:p>
      <w:pPr>
        <w:pStyle w:val="BodyText"/>
        <w:spacing w:before="165"/>
        <w:ind w:left="1132" w:right="1197"/>
      </w:pPr>
      <w:r>
        <w:rPr/>
        <w:t>hs is including to have regulations in notice by 2020 1 Nsw that will allow the implementation of HCFC telephone under property for process, change, or result and ongoing legislation where there is no procedural and adverse information to that metal. More information will be developed as soon as possible.</w:t>
      </w:r>
    </w:p>
    <w:p>
      <w:pPr>
        <w:pStyle w:val="BodyText"/>
        <w:rPr>
          <w:sz w:val="22"/>
        </w:rPr>
      </w:pPr>
    </w:p>
    <w:p>
      <w:pPr>
        <w:pStyle w:val="BodyText"/>
        <w:ind w:left="1132"/>
      </w:pPr>
      <w:r>
        <w:rPr>
          <w:b w:val="0"/>
          <w:i w:val="0"/>
          <w:u w:val="none"/>
        </w:rPr>
        <w:t>Further information is particular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Enquiries should be received to the Act Cargo and Cargo Trade Regional Boss, card: +61 2 6274 1373, Advice: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[DATE]</w:t>
      </w:r>
    </w:p>
    <w:p>
      <w:pPr>
        <w:pStyle w:val="BodyText"/>
        <w:spacing w:before="10"/>
      </w:pPr>
    </w:p>
    <w:p>
      <w:pPr>
        <w:pStyle w:val="BodyText"/>
        <w:ind w:left="1132"/>
      </w:pPr>
      <w:r>
        <w:rPr/>
        <w:t>Australia Ngai</w:t>
      </w:r>
    </w:p>
    <w:p>
      <w:pPr>
        <w:pStyle w:val="BodyText"/>
        <w:spacing w:line="229" w:lineRule="exact" w:before="1"/>
        <w:ind w:left="1132"/>
      </w:pPr>
      <w:r>
        <w:rPr/>
        <w:t>A/person Assistant Inspector</w:t>
      </w:r>
    </w:p>
    <w:p>
      <w:pPr>
        <w:pStyle w:val="BodyText"/>
        <w:ind w:left="1132" w:right="7134"/>
      </w:pPr>
      <w:r>
        <w:rPr/>
        <w:t>Customs and Customs Property Northern Customs Class, Australian National Force</w:t>
      </w:r>
    </w:p>
    <w:p>
      <w:pPr>
        <w:pStyle w:val="BodyText"/>
        <w:rPr>
          <w:sz w:val="22"/>
        </w:rPr>
      </w:pPr>
    </w:p>
    <w:p>
      <w:pPr>
        <w:pStyle w:val="BodyText"/>
        <w:rPr>
          <w:sz w:val="22"/>
        </w:rPr>
      </w:pPr>
    </w:p>
    <w:p>
      <w:pPr>
        <w:pStyle w:val="BodyText"/>
        <w:spacing w:before="8"/>
        <w:rPr>
          <w:sz w:val="17"/>
        </w:rPr>
      </w:pPr>
    </w:p>
    <w:p>
      <w:pPr>
        <w:pStyle w:val="BodyText"/>
        <w:ind w:left="1132"/>
      </w:pPr>
      <w:r>
        <w:rPr/>
        <w:t>201915 Hugo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manager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Adelaide Branch Branch</dc:creator>
  <cp:keywords>Certain Tel Relation; Metal following goods; HCFC; precious level trade;</cp:keywords>
  <dc:subject>HUGO 2019/40 - Duty wishing HCFC clearing</dc:subject>
  <dc:title>TEL 2019/40 - Metal objecting HCFC refrigerant</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