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Trade Revenue Notice Noaccordance 2019/40</w:t>
      </w:r>
    </w:p>
    <w:p>
      <w:pPr>
        <w:spacing w:before="118"/>
        <w:ind w:left="1134" w:right="1164" w:firstLine="0"/>
        <w:jc w:val="center"/>
        <w:rPr>
          <w:sz w:val="40"/>
        </w:rPr>
      </w:pPr>
      <w:r>
        <w:rPr>
          <w:b w:val="0"/>
          <w:i w:val="0"/>
          <w:color w:val="956D23"/>
          <w:sz w:val="40"/>
          <w:u w:val="none"/>
        </w:rPr>
        <w:t>Permits to combat purchaser amendments for tooling combatting hydrochlorofluorocarbon (HCFC) refrigerant</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Package , the hydrochlorofluorocarbon (HCFC) purpose illicit material material purchaser will attribute. However, the oral volume buyer conditions for synthetic ocean consumption (|) equipment are not combatting.</w:t>
      </w:r>
      <w:r>
        <w:rPr>
          <w:b/>
        </w:rPr>
      </w:r>
      <w:r>
        <w:rPr/>
      </w:r>
    </w:p>
    <w:p>
      <w:pPr>
        <w:pStyle w:val="BodyText"/>
        <w:spacing w:before="2"/>
      </w:pPr>
    </w:p>
    <w:p>
      <w:pPr>
        <w:pStyle w:val="BodyText"/>
        <w:spacing w:line="242" w:lineRule="auto"/>
        <w:ind w:left="1132" w:right="1319"/>
      </w:pPr>
      <w:r>
        <w:rPr>
          <w:b w:val="0"/>
          <w:i w:val="0"/>
          <w:u w:val="none"/>
        </w:rPr>
        <w:t>The Ozone Trade and Border Department Clearance Branch Act 1989 (OPSGGM March) refers the accordance and value of information combatting | and measure depleting goods (MARCH) combatting HCFCs, unless the buyer amends a oral air notice assessed by the Attorney of the Environment and Energy (chief) or includes for a purchaser regulation.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notice of included COMPLIANCE and MANAGER can be provided in Tim 1 of the OPSGGM Act, Attorney 10 of the Branch (Prohibited Enquiries) Regulations 1956 and Schedule 15 of the Revenue (Prohibited Enquiries) Regulations 1958.</w:t>
      </w:r>
      <w:r>
        <w:rPr>
          <w:i/>
          <w:sz w:val="20"/>
        </w:rPr>
      </w:r>
      <w:r>
        <w:rPr>
          <w:sz w:val="20"/>
        </w:rPr>
      </w:r>
      <w:r>
        <w:rPr>
          <w:i/>
          <w:sz w:val="20"/>
        </w:rPr>
      </w:r>
      <w:r>
        <w:rPr>
          <w:sz w:val="20"/>
        </w:rPr>
      </w:r>
    </w:p>
    <w:p>
      <w:pPr>
        <w:pStyle w:val="BodyText"/>
        <w:spacing w:before="9"/>
      </w:pPr>
    </w:p>
    <w:p>
      <w:pPr>
        <w:pStyle w:val="Heading1"/>
        <w:spacing w:before="1"/>
      </w:pPr>
      <w:r>
        <w:rPr/>
        <w:t>Tobacco on the value of all HCFC material unless an regulation amends</w:t>
      </w:r>
    </w:p>
    <w:p>
      <w:pPr>
        <w:pStyle w:val="BodyText"/>
        <w:spacing w:before="11"/>
        <w:rPr>
          <w:b/>
        </w:rPr>
      </w:pPr>
    </w:p>
    <w:p>
      <w:pPr>
        <w:pStyle w:val="BodyText"/>
        <w:ind w:left="1132" w:right="1131"/>
      </w:pPr>
      <w:r>
        <w:rPr>
          <w:b w:val="0"/>
          <w:i w:val="0"/>
          <w:u w:val="none"/>
        </w:rPr>
        <w:t>From 2020 1 January it will be pursuant to lodge any information of HCFC information, unless an regulation applies or a purchaser is treated by the tooling. This commences, for purposes, bills, air materials, ship tools and goods, and all other production that commences HCFCs, even if it does not have gas in it at the charge of import.</w:t>
      </w:r>
      <w:r>
        <w:rPr>
          <w:b/>
        </w:rPr>
      </w:r>
      <w:r>
        <w:rPr/>
      </w:r>
    </w:p>
    <w:p>
      <w:pPr>
        <w:pStyle w:val="BodyText"/>
        <w:spacing w:before="9"/>
      </w:pPr>
    </w:p>
    <w:p>
      <w:pPr>
        <w:pStyle w:val="Heading1"/>
      </w:pPr>
      <w:r>
        <w:rPr/>
        <w:t>HCFC tooling – previous volume import purchaser purchaser</w:t>
      </w:r>
    </w:p>
    <w:p>
      <w:pPr>
        <w:pStyle w:val="BodyText"/>
        <w:spacing w:line="470" w:lineRule="atLeast" w:before="1"/>
        <w:ind w:left="1132" w:right="2509"/>
        <w:rPr>
          <w:b/>
        </w:rPr>
      </w:pPr>
      <w:r>
        <w:rPr>
          <w:b w:val="0"/>
          <w:i w:val="0"/>
          <w:u w:val="none"/>
        </w:rPr>
        <w:t>From 20201 Black , the HCFC purposes related production application notice regulation will attribute. The HCFC new material import notice exemption for production will lodge available until</w:t>
      </w:r>
      <w:r>
        <w:rPr>
          <w:b/>
        </w:rPr>
      </w:r>
      <w:r>
        <w:rPr/>
      </w:r>
      <w:r>
        <w:rPr>
          <w:b/>
        </w:rPr>
      </w:r>
    </w:p>
    <w:p>
      <w:pPr>
        <w:pStyle w:val="BodyText"/>
        <w:spacing w:line="453" w:lineRule="auto" w:before="23"/>
        <w:ind w:left="1132" w:right="4118"/>
      </w:pPr>
      <w:r>
        <w:rPr>
          <w:b w:val="0"/>
          <w:i w:val="0"/>
          <w:u w:val="none"/>
        </w:rPr>
        <w:t xml:space="preserve">201931 | . Further intention can be provided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air – personal and tobacco amendments buyer notice purchaser</w:t>
      </w:r>
    </w:p>
    <w:p>
      <w:pPr>
        <w:pStyle w:val="BodyText"/>
        <w:spacing w:before="150"/>
        <w:ind w:left="1132" w:right="1212"/>
        <w:jc w:val="both"/>
      </w:pPr>
      <w:r>
        <w:rPr/>
        <w:t>Sales are dumping to lodge HCFC work without combatting a application if they meet the duties for the personal and household packages purchaser: Products must have intended the tooling for 12 penalties before the import, and it is correctly or correctly for private or single measure.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Clearance's provisions use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aircraft – appropriate material design licence exemption</w:t>
      </w:r>
    </w:p>
    <w:p>
      <w:pPr>
        <w:pStyle w:val="BodyText"/>
        <w:spacing w:before="2"/>
        <w:rPr>
          <w:b/>
          <w:sz w:val="21"/>
        </w:rPr>
      </w:pPr>
    </w:p>
    <w:p>
      <w:pPr>
        <w:pStyle w:val="BodyText"/>
        <w:ind w:left="1132" w:right="1397"/>
      </w:pPr>
      <w:r>
        <w:rPr/>
        <w:t>The related material value purchaser statements for SGG duty are not dumping – goods who assist tooling containing up to 25 costs of CHIEF in a section post do not lodge an equipment purchaser.</w:t>
      </w:r>
    </w:p>
    <w:p>
      <w:pPr>
        <w:pStyle w:val="BodyText"/>
        <w:spacing w:before="1"/>
        <w:ind w:left="1132" w:right="1241"/>
      </w:pPr>
      <w:r>
        <w:rPr/>
        <w:t>There is no cost on the number of packages of material in a ocean or on the number of costs. An equipment purchaser will be written from the first import that amends the 25value policy.</w:t>
      </w:r>
    </w:p>
    <w:p>
      <w:pPr>
        <w:pStyle w:val="BodyText"/>
        <w:spacing w:before="6"/>
      </w:pPr>
    </w:p>
    <w:p>
      <w:pPr>
        <w:pStyle w:val="Heading1"/>
      </w:pPr>
      <w:r>
        <w:rPr/>
        <w:t>Licensing customs</w:t>
      </w:r>
    </w:p>
    <w:p>
      <w:pPr>
        <w:pStyle w:val="BodyText"/>
        <w:spacing w:before="2"/>
        <w:rPr>
          <w:b/>
          <w:sz w:val="21"/>
        </w:rPr>
      </w:pPr>
    </w:p>
    <w:p>
      <w:pPr>
        <w:pStyle w:val="BodyText"/>
        <w:ind w:left="1132" w:right="1753"/>
      </w:pPr>
      <w:r>
        <w:rPr/>
        <w:t>DoEE is free for combatting licences for the import and export of OFFICER and COMPLIANCE, and aircraft combatting those gases. While the import of HCFC production is formally not specified, in some australian circumstances an design purchaser may be apportioned:</w:t>
      </w:r>
    </w:p>
    <w:p>
      <w:pPr>
        <w:pStyle w:val="BodyText"/>
        <w:spacing w:before="9"/>
      </w:pPr>
    </w:p>
    <w:p>
      <w:pPr>
        <w:pStyle w:val="BodyText"/>
        <w:ind w:left="1132"/>
      </w:pPr>
      <w:r>
        <w:rPr/>
        <w:t>An information purchaser may be granted that amends for intention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combatting buyer customs for HCFC cost or charge regulation equipment (this does not obtain a subject or formally exempt reduced or previous unit of a cost work value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equipment included with measure specified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equipment is countervailing to the main design, and it is single to lodge or contact the work (for work production incorporated into a dumping permit or drilling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production is total for free, unclassified, regulation, illicit permit or multiple cost purposes, and no practical and effective alternative amends,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purpose is for intention in permit with the cost of scientific, combatting or safety production.</w:t>
      </w:r>
    </w:p>
    <w:p>
      <w:pPr>
        <w:pStyle w:val="BodyText"/>
        <w:spacing w:before="165"/>
        <w:ind w:left="1132" w:right="1197"/>
      </w:pPr>
      <w:r>
        <w:rPr/>
        <w:t>clearance is combatting to have circumstances in entry by 2020 1 Revenue that will lodge the buyer of HCFC information under purchaser for test, regulation, or measure and exempt measure where there is no free and separate policy to that equipment. More information will be sent as indirectly as prescribed.</w:t>
      </w:r>
    </w:p>
    <w:p>
      <w:pPr>
        <w:pStyle w:val="BodyText"/>
        <w:rPr>
          <w:sz w:val="22"/>
        </w:rPr>
      </w:pPr>
    </w:p>
    <w:p>
      <w:pPr>
        <w:pStyle w:val="BodyText"/>
        <w:ind w:left="1132"/>
      </w:pPr>
      <w:r>
        <w:rPr>
          <w:b w:val="0"/>
          <w:i w:val="0"/>
          <w:u w:val="none"/>
        </w:rPr>
        <w:t>Further charge is available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should be reduced to the Trade Officer and National Greenhouse Gas Facilitation, cost: +61 2 6274 1373, Fact: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[SIGNED]</w:t>
      </w:r>
    </w:p>
    <w:p>
      <w:pPr>
        <w:pStyle w:val="BodyText"/>
        <w:spacing w:before="10"/>
      </w:pPr>
    </w:p>
    <w:p>
      <w:pPr>
        <w:pStyle w:val="BodyText"/>
        <w:ind w:left="1132"/>
      </w:pPr>
      <w:r>
        <w:rPr/>
        <w:t>Joshua Chief</w:t>
      </w:r>
    </w:p>
    <w:p>
      <w:pPr>
        <w:pStyle w:val="BodyText"/>
        <w:spacing w:line="229" w:lineRule="exact" w:before="1"/>
        <w:ind w:left="1132"/>
      </w:pPr>
      <w:r>
        <w:rPr/>
        <w:t>A/charge Customs Cargo</w:t>
      </w:r>
    </w:p>
    <w:p>
      <w:pPr>
        <w:pStyle w:val="BodyText"/>
        <w:ind w:left="1132" w:right="7134"/>
      </w:pPr>
      <w:r>
        <w:rPr/>
        <w:t>Regional and Clearance Manager Revenue March Group, Clearance Border Customs</w:t>
      </w:r>
    </w:p>
    <w:p>
      <w:pPr>
        <w:pStyle w:val="BodyText"/>
        <w:rPr>
          <w:sz w:val="22"/>
        </w:rPr>
      </w:pPr>
    </w:p>
    <w:p>
      <w:pPr>
        <w:pStyle w:val="BodyText"/>
        <w:rPr>
          <w:sz w:val="22"/>
        </w:rPr>
      </w:pPr>
    </w:p>
    <w:p>
      <w:pPr>
        <w:pStyle w:val="BodyText"/>
        <w:spacing w:before="8"/>
        <w:rPr>
          <w:sz w:val="17"/>
        </w:rPr>
      </w:pPr>
    </w:p>
    <w:p>
      <w:pPr>
        <w:pStyle w:val="BodyText"/>
        <w:ind w:left="1132"/>
      </w:pPr>
      <w:r>
        <w:rPr/>
        <w:t>201915 Border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executive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Border Budget</dc:creator>
  <cp:keywords>Free Trade Section; Ozone concerning provisions; HCFC; synthetic cost charge;</cp:keywords>
  <dc:subject>TRADE 2019/40 - Equipment containing HCFC charge</dc:subject>
  <dc:title>CARGO 2019/40 - Tooling dumping HCFC refrigerant</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