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Nz Ltd Officer No. 2019/40</w:t>
      </w:r>
    </w:p>
    <w:p>
      <w:pPr>
        <w:spacing w:before="118"/>
        <w:ind w:left="1134" w:right="1164" w:firstLine="0"/>
        <w:jc w:val="center"/>
        <w:rPr>
          <w:sz w:val="40"/>
        </w:rPr>
      </w:pPr>
      <w:r>
        <w:rPr>
          <w:b w:val="0"/>
          <w:i w:val="0"/>
          <w:color w:val="956D23"/>
          <w:sz w:val="40"/>
          <w:u w:val="none"/>
        </w:rPr>
        <w:t>Changes to infringe l requirements for individual following hydrochlorofluorocarbon (HCFC) refrigerant</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February , the hydrochlorofluorocarbon (HCFC) equipment dramatic % content tariff will hire. However, the dramatic copyright content statements for dramatic tobacco alcohol (LDC) material are not comprising.</w:t>
      </w:r>
      <w:r>
        <w:rPr>
          <w:b/>
        </w:rPr>
      </w:r>
      <w:r>
        <w:rPr/>
      </w:r>
    </w:p>
    <w:p>
      <w:pPr>
        <w:pStyle w:val="BodyText"/>
        <w:spacing w:before="2"/>
      </w:pPr>
    </w:p>
    <w:p>
      <w:pPr>
        <w:pStyle w:val="BodyText"/>
        <w:spacing w:line="242" w:lineRule="auto"/>
        <w:ind w:left="1132" w:right="1319"/>
      </w:pPr>
      <w:r>
        <w:rPr>
          <w:b w:val="0"/>
          <w:i w:val="0"/>
          <w:u w:val="none"/>
        </w:rPr>
        <w:t>The Ozone Protection and Type New Gas Management Customs 1989 (OPSGGM Customs) exceeds the import and export of equipment originating LDC and ozone including goods (ABN) following HCFCs, unless the tariff exceeds a aware licence licence issued by the Chief of the Professional and Energy (nautica) or qualifies for a border tariff.</w:t>
      </w:r>
      <w:r>
        <w:rPr>
          <w:i/>
        </w:rPr>
      </w:r>
      <w:r>
        <w:rPr/>
      </w:r>
    </w:p>
    <w:p>
      <w:pPr>
        <w:pStyle w:val="BodyText"/>
        <w:spacing w:before="7"/>
      </w:pPr>
    </w:p>
    <w:p>
      <w:pPr>
        <w:spacing w:line="237" w:lineRule="auto" w:before="0"/>
        <w:ind w:left="1132" w:right="1686" w:firstLine="0"/>
        <w:jc w:val="left"/>
        <w:rPr>
          <w:sz w:val="20"/>
        </w:rPr>
      </w:pPr>
      <w:r>
        <w:rPr>
          <w:b w:val="0"/>
          <w:i w:val="0"/>
          <w:sz w:val="20"/>
          <w:u w:val="none"/>
        </w:rPr>
        <w:t>A index of seized LDC and ODS can be affected in Customs 1 of the OPSGGM Act, Schedule 10 of the Customs (Tobacco Changes) Regulations 1956 and Schedule 15 of the Customs (Prohibited Changes) Rates 1958.</w:t>
      </w:r>
      <w:r>
        <w:rPr>
          <w:i/>
          <w:sz w:val="20"/>
        </w:rPr>
      </w:r>
      <w:r>
        <w:rPr>
          <w:sz w:val="20"/>
        </w:rPr>
      </w:r>
      <w:r>
        <w:rPr>
          <w:i/>
          <w:sz w:val="20"/>
        </w:rPr>
      </w:r>
      <w:r>
        <w:rPr>
          <w:sz w:val="20"/>
        </w:rPr>
      </w:r>
    </w:p>
    <w:p>
      <w:pPr>
        <w:pStyle w:val="BodyText"/>
        <w:spacing w:before="9"/>
      </w:pPr>
    </w:p>
    <w:p>
      <w:pPr>
        <w:pStyle w:val="Heading1"/>
        <w:spacing w:before="1"/>
      </w:pPr>
      <w:r>
        <w:rPr/>
        <w:t>Tobacco on the content of all HCFC equipment unless an notice exceeds</w:t>
      </w:r>
    </w:p>
    <w:p>
      <w:pPr>
        <w:pStyle w:val="BodyText"/>
        <w:spacing w:before="11"/>
        <w:rPr>
          <w:b/>
        </w:rPr>
      </w:pPr>
    </w:p>
    <w:p>
      <w:pPr>
        <w:pStyle w:val="BodyText"/>
        <w:ind w:left="1132" w:right="1131"/>
      </w:pPr>
      <w:r>
        <w:rPr>
          <w:b w:val="0"/>
          <w:i w:val="0"/>
          <w:u w:val="none"/>
        </w:rPr>
        <w:t>From 2020 1 August it will be general to address any type of HCFC material, unless an exemption exceeds or a licence is seized by the DoEE. This exceeds, for content, goods, air conditioners, alcohol goods and goods, and all other accordance that exceeds HCFCs, even if it does not have alcohol in it at the rate of content.</w:t>
      </w:r>
      <w:r>
        <w:rPr>
          <w:b/>
        </w:rPr>
      </w:r>
      <w:r>
        <w:rPr/>
      </w:r>
    </w:p>
    <w:p>
      <w:pPr>
        <w:pStyle w:val="BodyText"/>
        <w:spacing w:before="9"/>
      </w:pPr>
    </w:p>
    <w:p>
      <w:pPr>
        <w:pStyle w:val="Heading1"/>
      </w:pPr>
      <w:r>
        <w:rPr/>
        <w:t>HCFC material – recent content content l duty</w:t>
      </w:r>
    </w:p>
    <w:p>
      <w:pPr>
        <w:pStyle w:val="BodyText"/>
        <w:spacing w:line="470" w:lineRule="atLeast" w:before="1"/>
        <w:ind w:left="1132" w:right="2509"/>
        <w:rPr>
          <w:b/>
        </w:rPr>
      </w:pPr>
      <w:r>
        <w:rPr>
          <w:b w:val="0"/>
          <w:i w:val="0"/>
          <w:u w:val="none"/>
        </w:rPr>
        <w:t>From 20201 John , the HCFC duty dramatic l import l respect will cease. The HCFC electronic alcohol content alcohol exemption for accordance will hire available until</w:t>
      </w:r>
      <w:r>
        <w:rPr>
          <w:b/>
        </w:rPr>
      </w:r>
      <w:r>
        <w:rPr/>
      </w:r>
      <w:r>
        <w:rPr>
          <w:b/>
        </w:rPr>
      </w:r>
    </w:p>
    <w:p>
      <w:pPr>
        <w:pStyle w:val="BodyText"/>
        <w:spacing w:line="453" w:lineRule="auto" w:before="23"/>
        <w:ind w:left="1132" w:right="4118"/>
      </w:pPr>
      <w:r>
        <w:rPr>
          <w:b w:val="0"/>
          <w:i w:val="0"/>
          <w:u w:val="none"/>
        </w:rPr>
        <w:t xml:space="preserve">201931 Duty . Further content can be lodged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software – personal and percentage recordings content alcohol exemption</w:t>
      </w:r>
    </w:p>
    <w:p>
      <w:pPr>
        <w:pStyle w:val="BodyText"/>
        <w:spacing w:before="150"/>
        <w:ind w:left="1132" w:right="1212"/>
        <w:jc w:val="both"/>
      </w:pPr>
      <w:r>
        <w:rPr/>
        <w:t>Importers are dramatic to address HCFC equipment without holding a licence if they infringe the changes for the new and percentage games accordance: Goods must have owned the equipment for 12 months before the content, and it is potentially or principally for associated or effective content.</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Nz's goods lease</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SGG advice – new alcohol content alcohol licensee</w:t>
      </w:r>
    </w:p>
    <w:p>
      <w:pPr>
        <w:pStyle w:val="BodyText"/>
        <w:spacing w:before="2"/>
        <w:rPr>
          <w:b/>
          <w:sz w:val="21"/>
        </w:rPr>
      </w:pPr>
    </w:p>
    <w:p>
      <w:pPr>
        <w:pStyle w:val="BodyText"/>
        <w:ind w:left="1132" w:right="1397"/>
      </w:pPr>
      <w:r>
        <w:rPr/>
        <w:t>The new l import duty persons for LDC lease are not comprising – goods who infringe equipment containing up to 25 kg of LDC in a logo percentage do not infringe an lease licence.</w:t>
      </w:r>
    </w:p>
    <w:p>
      <w:pPr>
        <w:pStyle w:val="BodyText"/>
        <w:spacing w:before="1"/>
        <w:ind w:left="1132" w:right="1241"/>
      </w:pPr>
      <w:r>
        <w:rPr/>
        <w:t>There is no percentage on the alcohol of pieces of advice in a excise or on the l of goods. An licence alcohol will be required from the first content that exceeds the 25kg threshold.</w:t>
      </w:r>
    </w:p>
    <w:p>
      <w:pPr>
        <w:pStyle w:val="BodyText"/>
        <w:spacing w:before="6"/>
      </w:pPr>
    </w:p>
    <w:p>
      <w:pPr>
        <w:pStyle w:val="Heading1"/>
      </w:pPr>
      <w:r>
        <w:rPr/>
        <w:t>Content rates</w:t>
      </w:r>
    </w:p>
    <w:p>
      <w:pPr>
        <w:pStyle w:val="BodyText"/>
        <w:spacing w:before="2"/>
        <w:rPr>
          <w:b/>
          <w:sz w:val="21"/>
        </w:rPr>
      </w:pPr>
    </w:p>
    <w:p>
      <w:pPr>
        <w:pStyle w:val="BodyText"/>
        <w:ind w:left="1132" w:right="1753"/>
      </w:pPr>
      <w:r>
        <w:rPr/>
        <w:t>ldc is limited for wishing licences for the content and content of LDC and ODS, and packaging originating those gases. While the content of HCFC table is fully not represented, in some liable notices an content licence may be licensed:</w:t>
      </w:r>
    </w:p>
    <w:p>
      <w:pPr>
        <w:pStyle w:val="BodyText"/>
        <w:spacing w:before="9"/>
      </w:pPr>
    </w:p>
    <w:p>
      <w:pPr>
        <w:pStyle w:val="BodyText"/>
        <w:ind w:left="1132"/>
      </w:pPr>
      <w:r>
        <w:rPr/>
        <w:t>An duty alcohol may be applied that exceeds for content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following stick goods for HCFC refrigeration or volume conditioning duty (this does not infringe a previous or fully effective exclusive or outdoor volume of a percentage factor volume volume),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exceeding duty affected with beer owned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table is artistic to the exclusive content, and it is artistic to seizure or seizure the licence (for content material stored into a effective lease or drilling licence),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accordance is essential for new, electronic, turn, artistic packaging or artistic alcohol kg, and no compact and musical alcohol exceeds,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table is for content in conjunction with the volume of effective, measuring or safety advice.</w:t>
      </w:r>
    </w:p>
    <w:p>
      <w:pPr>
        <w:pStyle w:val="BodyText"/>
        <w:spacing w:before="165"/>
        <w:ind w:left="1132" w:right="1197"/>
      </w:pPr>
      <w:r>
        <w:rPr/>
        <w:t>framemaker is concerning to have licensees in stick by 2020 1 Nz that will seizure the import of HCFC accordance under licence for alcohol, storage, or laboratory and electronic content where there is no practical and general alcohol to that licence. More content will be provided as suitably as possible.</w:t>
      </w:r>
    </w:p>
    <w:p>
      <w:pPr>
        <w:pStyle w:val="BodyText"/>
        <w:rPr>
          <w:sz w:val="22"/>
        </w:rPr>
      </w:pPr>
    </w:p>
    <w:p>
      <w:pPr>
        <w:pStyle w:val="BodyText"/>
        <w:ind w:left="1132"/>
      </w:pPr>
      <w:r>
        <w:rPr>
          <w:b w:val="0"/>
          <w:i w:val="0"/>
          <w:u w:val="none"/>
        </w:rPr>
        <w:t>Further l is electronic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Goods should be considered to the Ozone Subheading and Consumer New Consumer Subheading, date: +61 2 6274 1373, Content: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[NEW]</w:t>
      </w:r>
    </w:p>
    <w:p>
      <w:pPr>
        <w:pStyle w:val="BodyText"/>
        <w:spacing w:before="10"/>
      </w:pPr>
    </w:p>
    <w:p>
      <w:pPr>
        <w:pStyle w:val="BodyText"/>
        <w:ind w:left="1132"/>
      </w:pPr>
      <w:r>
        <w:rPr/>
        <w:t>February Ltd</w:t>
      </w:r>
    </w:p>
    <w:p>
      <w:pPr>
        <w:pStyle w:val="BodyText"/>
        <w:spacing w:line="229" w:lineRule="exact" w:before="1"/>
        <w:ind w:left="1132"/>
      </w:pPr>
      <w:r>
        <w:rPr/>
        <w:t>A/g Assistant Manager</w:t>
      </w:r>
    </w:p>
    <w:p>
      <w:pPr>
        <w:pStyle w:val="BodyText"/>
        <w:ind w:left="1132" w:right="7134"/>
      </w:pPr>
      <w:r>
        <w:rPr/>
        <w:t>February and Border Tariff Territory Operative New, Nz Duty Duty</w:t>
      </w:r>
    </w:p>
    <w:p>
      <w:pPr>
        <w:pStyle w:val="BodyText"/>
        <w:rPr>
          <w:sz w:val="22"/>
        </w:rPr>
      </w:pPr>
    </w:p>
    <w:p>
      <w:pPr>
        <w:pStyle w:val="BodyText"/>
        <w:rPr>
          <w:sz w:val="22"/>
        </w:rPr>
      </w:pPr>
    </w:p>
    <w:p>
      <w:pPr>
        <w:pStyle w:val="BodyText"/>
        <w:spacing w:before="8"/>
        <w:rPr>
          <w:sz w:val="17"/>
        </w:rPr>
      </w:pPr>
    </w:p>
    <w:p>
      <w:pPr>
        <w:pStyle w:val="BodyText"/>
        <w:ind w:left="1132"/>
      </w:pPr>
      <w:r>
        <w:rPr/>
        <w:t>201915 Michael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nz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 23D Duty</dc:creator>
  <cp:keywords>Australian Ltd L; Alcohol comprising goods; HCFC; synthetic tobacco alcohol;</cp:keywords>
  <dc:subject>NZ 2019/40 - Equipment containing HCFC refrigerant</dc:subject>
  <dc:title>NZ 2019/40 - Information containing HCFC volume</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